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w:t>
        </w:r>
      </w:ins>
      <w:ins w:id="2" w:author="Stephen  Mapes" w:date="2016-11-21T12:25:00Z">
        <w:r w:rsidR="00CB04CC">
          <w:rPr>
            <w:rFonts w:cs="Arial"/>
            <w:szCs w:val="22"/>
          </w:rPr>
          <w:t>4</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2:24:00Z">
        <w:r w:rsidR="005E0793">
          <w:rPr>
            <w:rFonts w:cs="Arial"/>
            <w:szCs w:val="22"/>
          </w:rPr>
          <w:t>96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2:04:00Z">
              <w:r w:rsidR="00620CE9" w:rsidRPr="000101D1">
                <w:rPr>
                  <w:rFonts w:cs="Arial"/>
                  <w:szCs w:val="22"/>
                </w:rPr>
                <w:t>0</w:t>
              </w:r>
            </w:ins>
            <w:ins w:id="8" w:author="Stephen  Mapes" w:date="2016-11-21T12:25:00Z">
              <w:r w:rsidR="00CB04CC">
                <w:rPr>
                  <w:rFonts w:cs="Arial"/>
                  <w:szCs w:val="22"/>
                </w:rPr>
                <w:t>4</w:t>
              </w:r>
            </w:ins>
            <w:ins w:id="9" w:author="Stephen  Mapes" w:date="2016-11-21T12:24:00Z">
              <w:r w:rsidR="005E0793">
                <w:rPr>
                  <w:rFonts w:cs="Arial"/>
                  <w:szCs w:val="22"/>
                </w:rPr>
                <w:t>0</w:t>
              </w:r>
            </w:ins>
            <w:ins w:id="10" w:author="Stephen  Mapes" w:date="2016-11-21T12:04:00Z">
              <w:r w:rsidR="00620CE9" w:rsidRPr="000101D1">
                <w:rPr>
                  <w:rFonts w:cs="Arial"/>
                  <w:szCs w:val="22"/>
                </w:rPr>
                <w:t>00AVSWHDPWTCSI</w:t>
              </w:r>
            </w:ins>
            <w:ins w:id="11" w:author="Stephen  Mapes" w:date="2016-11-21T12:24:00Z">
              <w:r w:rsidR="005E0793">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2:25:00Z">
        <w:r w:rsidR="00CB04CC">
          <w:rPr>
            <w:rFonts w:cs="Arial"/>
            <w:szCs w:val="22"/>
          </w:rPr>
          <w:t>4</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2:23:00Z">
        <w:r w:rsidR="005E0793">
          <w:rPr>
            <w:rFonts w:cs="Arial"/>
            <w:szCs w:val="22"/>
          </w:rPr>
          <w:t>8</w:t>
        </w:r>
      </w:ins>
      <w:r w:rsidR="00854B0A">
        <w:rPr>
          <w:rFonts w:cs="Arial"/>
          <w:szCs w:val="22"/>
        </w:rPr>
        <w:t>-</w:t>
      </w:r>
      <w:r w:rsidRPr="00B27E07">
        <w:rPr>
          <w:rFonts w:cs="Arial"/>
          <w:szCs w:val="22"/>
        </w:rPr>
        <w:t>feet</w:t>
      </w:r>
      <w:r w:rsidR="00854B0A">
        <w:rPr>
          <w:rFonts w:cs="Arial"/>
          <w:szCs w:val="22"/>
        </w:rPr>
        <w:t xml:space="preserve">, </w:t>
      </w:r>
      <w:del w:id="19" w:author="Stephen  Mapes" w:date="2016-11-21T12:23:00Z">
        <w:r w:rsidR="00854B0A" w:rsidDel="005E0793">
          <w:rPr>
            <w:rFonts w:cs="Arial"/>
            <w:szCs w:val="22"/>
          </w:rPr>
          <w:delText>4</w:delText>
        </w:r>
      </w:del>
      <w:ins w:id="20"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1" w:author="Stephen  Mapes" w:date="2016-11-21T12:04:00Z">
        <w:r w:rsidR="00854B0A" w:rsidDel="00620CE9">
          <w:rPr>
            <w:rFonts w:cs="Arial"/>
            <w:szCs w:val="22"/>
          </w:rPr>
          <w:delText>6</w:delText>
        </w:r>
      </w:del>
      <w:ins w:id="22" w:author="Stephen  Mapes" w:date="2016-11-21T12:25:00Z">
        <w:r w:rsidR="00CB04CC">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23" w:author="Stephen  Mapes" w:date="2016-11-21T12:25:00Z">
        <w:r w:rsidR="00854B0A" w:rsidDel="00CB04CC">
          <w:rPr>
            <w:rFonts w:cs="Arial"/>
            <w:szCs w:val="22"/>
          </w:rPr>
          <w:delText>0</w:delText>
        </w:r>
      </w:del>
      <w:ins w:id="24" w:author="Stephen  Mapes" w:date="2016-11-21T12:25:00Z">
        <w:r w:rsidR="00CB04CC">
          <w:rPr>
            <w:rFonts w:cs="Arial"/>
            <w:szCs w:val="22"/>
          </w:rPr>
          <w:t>6</w:t>
        </w:r>
      </w:ins>
      <w:r w:rsidR="00854B0A">
        <w:rPr>
          <w:rFonts w:cs="Arial"/>
          <w:szCs w:val="22"/>
        </w:rPr>
        <w:t>-</w:t>
      </w:r>
      <w:del w:id="25" w:author="Stephen  Mapes" w:date="2016-11-21T14:25:00Z">
        <w:r w:rsidRPr="00B27E07" w:rsidDel="00166350">
          <w:rPr>
            <w:rFonts w:cs="Arial"/>
            <w:szCs w:val="22"/>
          </w:rPr>
          <w:delText>nches</w:delText>
        </w:r>
      </w:del>
      <w:ins w:id="26" w:author="Stephen  Mapes" w:date="2016-11-21T14:25:00Z">
        <w:r w:rsidR="00166350">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DA6468" w:rsidRPr="005A6DBB">
      <w:rPr>
        <w:bCs/>
        <w:sz w:val="16"/>
        <w:szCs w:val="16"/>
      </w:rPr>
      <w:fldChar w:fldCharType="begin"/>
    </w:r>
    <w:r w:rsidRPr="005A6DBB">
      <w:rPr>
        <w:bCs/>
        <w:sz w:val="16"/>
        <w:szCs w:val="16"/>
      </w:rPr>
      <w:instrText xml:space="preserve"> PAGE </w:instrText>
    </w:r>
    <w:r w:rsidR="00DA6468" w:rsidRPr="005A6DBB">
      <w:rPr>
        <w:bCs/>
        <w:sz w:val="16"/>
        <w:szCs w:val="16"/>
      </w:rPr>
      <w:fldChar w:fldCharType="separate"/>
    </w:r>
    <w:r w:rsidR="00166350">
      <w:rPr>
        <w:bCs/>
        <w:noProof/>
        <w:sz w:val="16"/>
        <w:szCs w:val="16"/>
      </w:rPr>
      <w:t>7</w:t>
    </w:r>
    <w:r w:rsidR="00DA6468" w:rsidRPr="005A6DBB">
      <w:rPr>
        <w:bCs/>
        <w:sz w:val="16"/>
        <w:szCs w:val="16"/>
      </w:rPr>
      <w:fldChar w:fldCharType="end"/>
    </w:r>
    <w:r w:rsidRPr="005A6DBB">
      <w:rPr>
        <w:sz w:val="16"/>
        <w:szCs w:val="16"/>
      </w:rPr>
      <w:t xml:space="preserve"> of </w:t>
    </w:r>
    <w:r w:rsidR="00DA6468" w:rsidRPr="005A6DBB">
      <w:rPr>
        <w:bCs/>
        <w:sz w:val="16"/>
        <w:szCs w:val="16"/>
      </w:rPr>
      <w:fldChar w:fldCharType="begin"/>
    </w:r>
    <w:r w:rsidRPr="005A6DBB">
      <w:rPr>
        <w:bCs/>
        <w:sz w:val="16"/>
        <w:szCs w:val="16"/>
      </w:rPr>
      <w:instrText xml:space="preserve"> NUMPAGES  </w:instrText>
    </w:r>
    <w:r w:rsidR="00DA6468" w:rsidRPr="005A6DBB">
      <w:rPr>
        <w:bCs/>
        <w:sz w:val="16"/>
        <w:szCs w:val="16"/>
      </w:rPr>
      <w:fldChar w:fldCharType="separate"/>
    </w:r>
    <w:r w:rsidR="00166350">
      <w:rPr>
        <w:bCs/>
        <w:noProof/>
        <w:sz w:val="16"/>
        <w:szCs w:val="16"/>
      </w:rPr>
      <w:t>13</w:t>
    </w:r>
    <w:r w:rsidR="00DA6468"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DA6468" w:rsidRPr="005A6DBB">
      <w:rPr>
        <w:bCs/>
        <w:sz w:val="16"/>
        <w:szCs w:val="16"/>
      </w:rPr>
      <w:fldChar w:fldCharType="begin"/>
    </w:r>
    <w:r w:rsidRPr="005A6DBB">
      <w:rPr>
        <w:bCs/>
        <w:sz w:val="16"/>
        <w:szCs w:val="16"/>
      </w:rPr>
      <w:instrText xml:space="preserve"> PAGE </w:instrText>
    </w:r>
    <w:r w:rsidR="00DA6468" w:rsidRPr="005A6DBB">
      <w:rPr>
        <w:bCs/>
        <w:sz w:val="16"/>
        <w:szCs w:val="16"/>
      </w:rPr>
      <w:fldChar w:fldCharType="separate"/>
    </w:r>
    <w:r w:rsidR="00166350">
      <w:rPr>
        <w:bCs/>
        <w:noProof/>
        <w:sz w:val="16"/>
        <w:szCs w:val="16"/>
      </w:rPr>
      <w:t>13</w:t>
    </w:r>
    <w:r w:rsidR="00DA6468" w:rsidRPr="005A6DBB">
      <w:rPr>
        <w:bCs/>
        <w:sz w:val="16"/>
        <w:szCs w:val="16"/>
      </w:rPr>
      <w:fldChar w:fldCharType="end"/>
    </w:r>
    <w:r w:rsidRPr="005A6DBB">
      <w:rPr>
        <w:sz w:val="16"/>
        <w:szCs w:val="16"/>
      </w:rPr>
      <w:t xml:space="preserve"> of </w:t>
    </w:r>
    <w:r w:rsidR="00DA6468" w:rsidRPr="005A6DBB">
      <w:rPr>
        <w:bCs/>
        <w:sz w:val="16"/>
        <w:szCs w:val="16"/>
      </w:rPr>
      <w:fldChar w:fldCharType="begin"/>
    </w:r>
    <w:r w:rsidRPr="005A6DBB">
      <w:rPr>
        <w:bCs/>
        <w:sz w:val="16"/>
        <w:szCs w:val="16"/>
      </w:rPr>
      <w:instrText xml:space="preserve"> NUMPAGES  </w:instrText>
    </w:r>
    <w:r w:rsidR="00DA6468" w:rsidRPr="005A6DBB">
      <w:rPr>
        <w:bCs/>
        <w:sz w:val="16"/>
        <w:szCs w:val="16"/>
      </w:rPr>
      <w:fldChar w:fldCharType="separate"/>
    </w:r>
    <w:r w:rsidR="00166350">
      <w:rPr>
        <w:bCs/>
        <w:noProof/>
        <w:sz w:val="16"/>
        <w:szCs w:val="16"/>
      </w:rPr>
      <w:t>13</w:t>
    </w:r>
    <w:r w:rsidR="00DA6468"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166350"/>
    <w:rsid w:val="003F63B1"/>
    <w:rsid w:val="0043238A"/>
    <w:rsid w:val="005E0793"/>
    <w:rsid w:val="00620CE9"/>
    <w:rsid w:val="00854B0A"/>
    <w:rsid w:val="00980E94"/>
    <w:rsid w:val="00A965A0"/>
    <w:rsid w:val="00C1176A"/>
    <w:rsid w:val="00C23F88"/>
    <w:rsid w:val="00CB04CC"/>
    <w:rsid w:val="00DA646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23577</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2016-11-21T17:25:00Z</dcterms:created>
  <dcterms:modified xsi:type="dcterms:W3CDTF">2016-11-21T19:25:00Z</dcterms:modified>
</cp:coreProperties>
</file>