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00720518" w:rsidRPr="0012349C">
        <w:rPr>
          <w:rFonts w:cs="Arial"/>
          <w:color w:val="FF0000"/>
          <w:szCs w:val="22"/>
        </w:rPr>
        <w:t>0</w:t>
      </w:r>
      <w:r w:rsidR="00B93531">
        <w:rPr>
          <w:rFonts w:cs="Arial"/>
          <w:color w:val="FF0000"/>
          <w:szCs w:val="22"/>
        </w:rPr>
        <w:t>6</w:t>
      </w:r>
      <w:r w:rsidR="00720518">
        <w:rPr>
          <w:rFonts w:cs="Arial"/>
          <w:color w:val="FF0000"/>
          <w:szCs w:val="22"/>
        </w:rPr>
        <w:t>00</w:t>
      </w:r>
      <w:r w:rsidR="00720518"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“G”</w:t>
      </w:r>
      <w:r w:rsidR="00CB31FB">
        <w:rPr>
          <w:b/>
        </w:rPr>
        <w:t xml:space="preserve"> </w:t>
      </w:r>
      <w:r>
        <w:rPr>
          <w:b/>
        </w:rPr>
        <w:t xml:space="preserve">Cylindrical,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720518" w:rsidRPr="0012349C">
        <w:rPr>
          <w:rFonts w:cs="Arial"/>
          <w:b/>
          <w:szCs w:val="22"/>
        </w:rPr>
        <w:t>0</w:t>
      </w:r>
      <w:r w:rsidR="00B93531">
        <w:rPr>
          <w:rFonts w:cs="Arial"/>
          <w:b/>
          <w:szCs w:val="22"/>
        </w:rPr>
        <w:t>6</w:t>
      </w:r>
      <w:r w:rsidR="00720518">
        <w:rPr>
          <w:rFonts w:cs="Arial"/>
          <w:b/>
          <w:szCs w:val="22"/>
        </w:rPr>
        <w:t>00</w:t>
      </w:r>
      <w:r w:rsidR="00720518"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B93531">
        <w:rPr>
          <w:rFonts w:cs="Arial"/>
        </w:rPr>
        <w:t>6</w:t>
      </w:r>
      <w:r w:rsidR="00FD3ECC">
        <w:rPr>
          <w:rFonts w:cs="Arial"/>
        </w:rPr>
        <w:t>,000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EF06EC">
        <w:rPr>
          <w:rFonts w:cs="Arial"/>
        </w:rPr>
        <w:t>1,</w:t>
      </w:r>
      <w:r w:rsidR="00B93531">
        <w:rPr>
          <w:rFonts w:cs="Arial"/>
        </w:rPr>
        <w:t>127</w:t>
      </w:r>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EF06EC">
        <w:rPr>
          <w:rFonts w:cs="Arial"/>
          <w:szCs w:val="22"/>
        </w:rPr>
        <w:t>6</w:t>
      </w:r>
      <w:r>
        <w:rPr>
          <w:rFonts w:cs="Arial"/>
          <w:szCs w:val="22"/>
        </w:rPr>
        <w:t>-</w:t>
      </w:r>
      <w:r w:rsidRPr="00D2629D">
        <w:rPr>
          <w:rFonts w:cs="Arial"/>
          <w:szCs w:val="22"/>
        </w:rPr>
        <w:t>feet</w:t>
      </w:r>
      <w:r>
        <w:rPr>
          <w:rFonts w:cs="Arial"/>
          <w:szCs w:val="22"/>
        </w:rPr>
        <w:t xml:space="preserve">, </w:t>
      </w:r>
      <w:r w:rsidR="00EF06EC">
        <w:rPr>
          <w:rFonts w:cs="Arial"/>
          <w:szCs w:val="22"/>
        </w:rPr>
        <w:t>0</w:t>
      </w:r>
      <w:r>
        <w:rPr>
          <w:rFonts w:cs="Arial"/>
          <w:szCs w:val="22"/>
        </w:rPr>
        <w:t>-inches,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B93531">
        <w:rPr>
          <w:rFonts w:cs="Arial"/>
          <w:szCs w:val="22"/>
        </w:rPr>
        <w:t>34</w:t>
      </w:r>
      <w:r>
        <w:rPr>
          <w:rFonts w:cs="Arial"/>
          <w:szCs w:val="22"/>
        </w:rPr>
        <w:t>–</w:t>
      </w:r>
      <w:r w:rsidRPr="00D2629D">
        <w:rPr>
          <w:rFonts w:cs="Arial"/>
          <w:szCs w:val="22"/>
        </w:rPr>
        <w:t>feet</w:t>
      </w:r>
      <w:r>
        <w:rPr>
          <w:rFonts w:cs="Arial"/>
          <w:szCs w:val="22"/>
        </w:rPr>
        <w:t xml:space="preserve">, </w:t>
      </w:r>
      <w:r w:rsidR="00B93531">
        <w:rPr>
          <w:rFonts w:cs="Arial"/>
          <w:szCs w:val="22"/>
        </w:rPr>
        <w:t>0</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B93531">
        <w:rPr>
          <w:rFonts w:cs="Arial"/>
          <w:szCs w:val="22"/>
        </w:rPr>
        <w:t>6</w:t>
      </w:r>
      <w:r w:rsidR="008C4109">
        <w:rPr>
          <w:rFonts w:cs="Arial"/>
          <w:szCs w:val="22"/>
        </w:rPr>
        <w:t>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Double-Wall Construction with 360</w:t>
      </w:r>
      <w:r w:rsidR="00CB31FB">
        <w:t>-</w:t>
      </w:r>
      <w:r>
        <w:t xml:space="preserve">degree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7D3BB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w:t>
      </w:r>
    </w:p>
    <w:p w:rsidR="000C7DF1" w:rsidRDefault="000C7DF1" w:rsidP="007D3BB1">
      <w:pPr>
        <w:ind w:left="720" w:firstLine="180"/>
      </w:pPr>
      <w:r>
        <w:t xml:space="preserve">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026D9F">
        <w:t>10</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Pr="000033AB">
        <w:t xml:space="preserve"> </w:t>
      </w:r>
      <w:r w:rsidR="00097C2A">
        <w:t>1,12</w:t>
      </w:r>
      <w:bookmarkStart w:id="0" w:name="_GoBack"/>
      <w:bookmarkEnd w:id="0"/>
      <w:r w:rsidR="007D3BB1">
        <w:t>7</w:t>
      </w:r>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rsidR="008C4109">
        <w:t>24</w:t>
      </w:r>
      <w:r>
        <w:t>-inch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w:t>
      </w:r>
      <w:r w:rsidR="00026D9F">
        <w:t>10</w:t>
      </w:r>
      <w:r>
        <w:t>-inch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7D3BB1">
        <w:t>’</w:t>
      </w:r>
      <w:r>
        <w:t>s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026D9F">
        <w:t>10</w:t>
      </w:r>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rsidR="007D3BB1">
        <w:t>24</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Hold-Down Straps.</w:t>
      </w:r>
      <w:r w:rsidR="00CB31FB">
        <w:t xml:space="preserve"> </w:t>
      </w:r>
      <w:r>
        <w:t>When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r>
        <w:t>deadman anchors</w:t>
      </w:r>
      <w:r w:rsidR="00CB31FB">
        <w:t xml:space="preserve"> </w:t>
      </w:r>
      <w:r>
        <w:t>must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24A" w:rsidRDefault="0012024A">
      <w:r>
        <w:separator/>
      </w:r>
    </w:p>
  </w:endnote>
  <w:endnote w:type="continuationSeparator" w:id="0">
    <w:p w:rsidR="0012024A" w:rsidRDefault="0012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518" w:rsidRDefault="00720518">
    <w:pPr>
      <w:pStyle w:val="SpecFooter"/>
    </w:pPr>
  </w:p>
  <w:p w:rsidR="00720518" w:rsidRDefault="00720518">
    <w:pPr>
      <w:pStyle w:val="SpecFooter"/>
    </w:pPr>
  </w:p>
  <w:p w:rsidR="00720518" w:rsidRDefault="0072051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24A" w:rsidRDefault="0012024A">
      <w:r>
        <w:separator/>
      </w:r>
    </w:p>
  </w:footnote>
  <w:footnote w:type="continuationSeparator" w:id="0">
    <w:p w:rsidR="0012024A" w:rsidRDefault="00120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26D9F"/>
    <w:rsid w:val="00097C2A"/>
    <w:rsid w:val="000C7DF1"/>
    <w:rsid w:val="0012024A"/>
    <w:rsid w:val="0012349C"/>
    <w:rsid w:val="0023054E"/>
    <w:rsid w:val="004B6860"/>
    <w:rsid w:val="00513963"/>
    <w:rsid w:val="005E27F1"/>
    <w:rsid w:val="00720518"/>
    <w:rsid w:val="007D3BB1"/>
    <w:rsid w:val="008226DE"/>
    <w:rsid w:val="008C4109"/>
    <w:rsid w:val="00B93531"/>
    <w:rsid w:val="00C1176A"/>
    <w:rsid w:val="00CB0732"/>
    <w:rsid w:val="00CB31FB"/>
    <w:rsid w:val="00EB6B8E"/>
    <w:rsid w:val="00EF06EC"/>
    <w:rsid w:val="00F82278"/>
    <w:rsid w:val="00FD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E1FA"/>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4843</Words>
  <Characters>27610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32389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2019-06-07T12:52:00Z</dcterms:created>
  <dcterms:modified xsi:type="dcterms:W3CDTF">2019-06-07T13:17:00Z</dcterms:modified>
</cp:coreProperties>
</file>