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66050FE3"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784473">
        <w:rPr>
          <w:rFonts w:ascii="Arial" w:hAnsi="Arial" w:cs="Arial"/>
          <w:b/>
          <w:color w:val="FF0000"/>
          <w:sz w:val="22"/>
          <w:szCs w:val="22"/>
        </w:rPr>
        <w:t>2</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53EB3E75"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784473">
        <w:rPr>
          <w:rFonts w:ascii="Arial" w:hAnsi="Arial" w:cs="Arial"/>
          <w:sz w:val="22"/>
          <w:szCs w:val="22"/>
        </w:rPr>
        <w:t>2</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784473">
        <w:rPr>
          <w:rFonts w:ascii="Arial" w:hAnsi="Arial" w:cs="Arial"/>
          <w:sz w:val="22"/>
          <w:szCs w:val="22"/>
        </w:rPr>
        <w:t>501</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784473">
        <w:rPr>
          <w:rFonts w:ascii="Arial" w:hAnsi="Arial" w:cs="Arial"/>
          <w:sz w:val="22"/>
          <w:szCs w:val="22"/>
        </w:rPr>
        <w:t>2</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70E11676"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784473">
        <w:rPr>
          <w:rFonts w:ascii="Arial" w:hAnsi="Arial" w:cs="Arial"/>
          <w:sz w:val="22"/>
          <w:szCs w:val="22"/>
        </w:rPr>
        <w:t>5</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2D749DC"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B9708F">
        <w:rPr>
          <w:rFonts w:ascii="Arial" w:hAnsi="Arial" w:cs="Arial"/>
          <w:sz w:val="22"/>
          <w:szCs w:val="22"/>
        </w:rPr>
        <w:t>2</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7777777" w:rsidR="002B5322" w:rsidRPr="00705B19" w:rsidRDefault="00396694" w:rsidP="00396694">
      <w:pPr>
        <w:autoSpaceDE w:val="0"/>
        <w:autoSpaceDN w:val="0"/>
        <w:adjustRightInd w:val="0"/>
        <w:rPr>
          <w:rFonts w:ascii="Arial" w:hAnsi="Arial"/>
          <w:sz w:val="24"/>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56A8BEC7"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473">
        <w:rPr>
          <w:rFonts w:ascii="Arial" w:hAnsi="Arial" w:cs="Arial"/>
          <w:color w:val="000000"/>
          <w:sz w:val="22"/>
          <w:szCs w:val="22"/>
        </w:rPr>
        <w:t>501</w:t>
      </w:r>
      <w:r w:rsidRPr="00221DF2">
        <w:rPr>
          <w:rFonts w:ascii="Arial" w:hAnsi="Arial" w:cs="Arial"/>
          <w:color w:val="000000"/>
          <w:sz w:val="22"/>
          <w:szCs w:val="22"/>
        </w:rPr>
        <w:t xml:space="preserve">-gallon integral sand interceptor compartment containing one (1) </w:t>
      </w:r>
      <w:r>
        <w:rPr>
          <w:rFonts w:ascii="Arial" w:hAnsi="Arial" w:cs="Arial"/>
          <w:color w:val="000000"/>
          <w:sz w:val="22"/>
          <w:szCs w:val="22"/>
        </w:rPr>
        <w:t>18-inch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E565C7">
        <w:rPr>
          <w:rFonts w:ascii="Arial" w:hAnsi="Arial" w:cs="Arial"/>
          <w:color w:val="000000"/>
          <w:sz w:val="22"/>
          <w:szCs w:val="22"/>
        </w:rPr>
        <w:t>6</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22ABC218" w14:textId="77777777" w:rsidR="00F816FA" w:rsidRDefault="00F816FA" w:rsidP="00F816FA">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241D87A" w14:textId="77777777" w:rsidR="00F816FA" w:rsidRDefault="00F816FA" w:rsidP="00F816F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31A9E48" w14:textId="77777777" w:rsidR="00F816FA" w:rsidRDefault="00F816FA" w:rsidP="00F816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F370174"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C3F9C0E"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F52818D"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B40EE78"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50928F8"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B756E7C"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31C7453" w14:textId="77777777" w:rsidR="00F816FA" w:rsidRDefault="00F816FA" w:rsidP="00F816F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5A74F92" w14:textId="77777777" w:rsidR="00F816FA" w:rsidRDefault="00F816FA" w:rsidP="00F816F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EA46F74" w14:textId="77777777" w:rsidR="00F816FA" w:rsidRDefault="00F816FA" w:rsidP="00F816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5547FB2" w14:textId="77777777" w:rsidR="00F816FA" w:rsidRDefault="00F816FA" w:rsidP="00F816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5B39F3D" w14:textId="77777777" w:rsidR="00F816FA" w:rsidRDefault="00F816FA" w:rsidP="00F816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6F0BD40" w14:textId="77777777" w:rsidR="00F816FA" w:rsidRDefault="00F816FA" w:rsidP="00F816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C993523" w14:textId="77777777" w:rsidR="00F816FA" w:rsidRDefault="00F816FA" w:rsidP="00F816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C986757" w14:textId="77777777" w:rsidR="00F816FA" w:rsidRDefault="00F816FA" w:rsidP="00F816F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DC15676" w14:textId="77777777" w:rsidR="00F816FA" w:rsidRDefault="00F816FA" w:rsidP="00F816F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D1ECF3F" w14:textId="77777777" w:rsidR="00F816FA" w:rsidRDefault="00F816FA" w:rsidP="00F816F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20190B0" w14:textId="77777777" w:rsidR="00F816FA" w:rsidRDefault="00F816FA" w:rsidP="00F816FA">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1185987" w14:textId="77777777" w:rsidR="00F816FA" w:rsidRDefault="00F816FA" w:rsidP="00F816F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E2F3C40" w14:textId="77777777" w:rsidR="00F816FA" w:rsidRDefault="00F816FA" w:rsidP="00F816F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5275A8A" w14:textId="77777777" w:rsidR="00F816FA" w:rsidRDefault="00F816FA" w:rsidP="00F816F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1C91A33" w14:textId="77777777" w:rsidR="00F816FA" w:rsidRDefault="00F816FA" w:rsidP="00F816FA">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F816FA"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49DB" w14:textId="77777777" w:rsidR="00484F4C" w:rsidRDefault="00484F4C">
      <w:r>
        <w:separator/>
      </w:r>
    </w:p>
  </w:endnote>
  <w:endnote w:type="continuationSeparator" w:id="0">
    <w:p w14:paraId="323FC0A4" w14:textId="77777777" w:rsidR="00484F4C" w:rsidRDefault="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6166" w14:textId="77777777" w:rsidR="00484F4C" w:rsidRDefault="00484F4C">
      <w:r>
        <w:separator/>
      </w:r>
    </w:p>
  </w:footnote>
  <w:footnote w:type="continuationSeparator" w:id="0">
    <w:p w14:paraId="58697740" w14:textId="77777777" w:rsidR="00484F4C" w:rsidRDefault="00484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2B5322"/>
    <w:rsid w:val="00396694"/>
    <w:rsid w:val="00484F4C"/>
    <w:rsid w:val="005F63E5"/>
    <w:rsid w:val="00663B97"/>
    <w:rsid w:val="00675290"/>
    <w:rsid w:val="00705B19"/>
    <w:rsid w:val="00761B0E"/>
    <w:rsid w:val="00784473"/>
    <w:rsid w:val="00A018C7"/>
    <w:rsid w:val="00B9708F"/>
    <w:rsid w:val="00C464D3"/>
    <w:rsid w:val="00CC6B05"/>
    <w:rsid w:val="00CD5875"/>
    <w:rsid w:val="00E565C7"/>
    <w:rsid w:val="00EB5EFE"/>
    <w:rsid w:val="00F474DB"/>
    <w:rsid w:val="00F626C7"/>
    <w:rsid w:val="00F816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F816F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8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11940</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13779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2021-09-21T19:53:00Z</dcterms:created>
  <dcterms:modified xsi:type="dcterms:W3CDTF">2021-09-21T19:53:00Z</dcterms:modified>
</cp:coreProperties>
</file>