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E4175" w14:textId="61B5B9B5" w:rsidR="00530C42" w:rsidRDefault="00327551">
      <w:pPr>
        <w:pStyle w:val="HeadingBase"/>
        <w:keepNext w:val="0"/>
        <w:keepLines w:val="0"/>
        <w:spacing w:line="240" w:lineRule="auto"/>
        <w:rPr>
          <w:rStyle w:val="Checkbox"/>
          <w:rFonts w:ascii="Arial" w:hAnsi="Arial"/>
          <w:color w:val="FF0000"/>
          <w:spacing w:val="0"/>
          <w:sz w:val="24"/>
        </w:rPr>
      </w:pPr>
      <w:r>
        <w:rPr>
          <w:rFonts w:ascii="Arial" w:hAnsi="Arial"/>
          <w:color w:val="FF0000"/>
          <w:spacing w:val="0"/>
        </w:rPr>
        <w:t>04000RHTC</w:t>
      </w:r>
    </w:p>
    <w:p w14:paraId="72221A17" w14:textId="77777777" w:rsidR="00530C42" w:rsidRDefault="00530C42"/>
    <w:p w14:paraId="214FD679" w14:textId="738F5518" w:rsidR="00530C42" w:rsidRDefault="00327551">
      <w:pPr>
        <w:rPr>
          <w:rStyle w:val="Checkbox"/>
          <w:rFonts w:ascii="Arial" w:hAnsi="Arial"/>
          <w:sz w:val="24"/>
        </w:rPr>
      </w:pPr>
      <w:r>
        <w:rPr>
          <w:rStyle w:val="Checkbox"/>
          <w:rFonts w:ascii="Arial" w:hAnsi="Arial"/>
          <w:sz w:val="24"/>
        </w:rPr>
        <w:t xml:space="preserve">Highland Tank Model R-HTC </w:t>
      </w:r>
    </w:p>
    <w:p w14:paraId="0EE3AC03" w14:textId="77777777" w:rsidR="00530C42" w:rsidRDefault="00327551">
      <w:pPr>
        <w:rPr>
          <w:rStyle w:val="Checkbox"/>
          <w:rFonts w:ascii="Arial" w:hAnsi="Arial"/>
          <w:sz w:val="24"/>
        </w:rPr>
      </w:pPr>
      <w:r>
        <w:rPr>
          <w:rStyle w:val="Checkbox"/>
          <w:rFonts w:ascii="Arial" w:hAnsi="Arial"/>
          <w:sz w:val="24"/>
        </w:rPr>
        <w:t xml:space="preserve">Rectangular Oil/Water Separator           </w:t>
      </w:r>
    </w:p>
    <w:p w14:paraId="4F4AB094" w14:textId="77777777" w:rsidR="00530C42" w:rsidRDefault="00530C42">
      <w:pPr>
        <w:rPr>
          <w:rFonts w:ascii="Arial" w:hAnsi="Arial"/>
          <w:sz w:val="24"/>
        </w:rPr>
      </w:pPr>
    </w:p>
    <w:p w14:paraId="7F64EE29" w14:textId="77777777" w:rsidR="00530C42" w:rsidRDefault="00327551">
      <w:pPr>
        <w:rPr>
          <w:rFonts w:ascii="Arial" w:hAnsi="Arial"/>
          <w:sz w:val="24"/>
        </w:rPr>
      </w:pPr>
      <w:r>
        <w:rPr>
          <w:rFonts w:ascii="Arial" w:hAnsi="Arial"/>
          <w:sz w:val="24"/>
        </w:rPr>
        <w:t>Project Description: ____________</w:t>
      </w:r>
    </w:p>
    <w:p w14:paraId="5E119746" w14:textId="77777777" w:rsidR="00530C42" w:rsidRDefault="00530C42">
      <w:pPr>
        <w:rPr>
          <w:rFonts w:ascii="Arial" w:hAnsi="Arial"/>
          <w:sz w:val="24"/>
        </w:rPr>
      </w:pPr>
    </w:p>
    <w:p w14:paraId="63E54659" w14:textId="77777777" w:rsidR="00530C42" w:rsidRDefault="00530C42">
      <w:pPr>
        <w:rPr>
          <w:rFonts w:ascii="Arial" w:hAnsi="Arial"/>
          <w:sz w:val="24"/>
        </w:rPr>
      </w:pPr>
    </w:p>
    <w:p w14:paraId="6DC8B014" w14:textId="77777777" w:rsidR="00530C42" w:rsidRDefault="00327551">
      <w:pPr>
        <w:rPr>
          <w:rFonts w:ascii="Arial" w:hAnsi="Arial"/>
          <w:sz w:val="24"/>
        </w:rPr>
      </w:pPr>
      <w:r>
        <w:rPr>
          <w:rFonts w:ascii="Arial" w:hAnsi="Arial"/>
          <w:sz w:val="24"/>
        </w:rPr>
        <w:t>Scope</w:t>
      </w:r>
    </w:p>
    <w:p w14:paraId="4717D0BF" w14:textId="77777777" w:rsidR="00530C42" w:rsidRDefault="00530C42">
      <w:pPr>
        <w:rPr>
          <w:rFonts w:ascii="Arial" w:hAnsi="Arial"/>
          <w:sz w:val="24"/>
        </w:rPr>
      </w:pPr>
    </w:p>
    <w:p w14:paraId="77B0155C" w14:textId="77777777" w:rsidR="00530C42" w:rsidRDefault="00327551">
      <w:pPr>
        <w:rPr>
          <w:rFonts w:ascii="Arial" w:hAnsi="Arial"/>
          <w:sz w:val="24"/>
        </w:rPr>
      </w:pPr>
      <w:r>
        <w:rPr>
          <w:rFonts w:ascii="Arial" w:hAnsi="Arial"/>
          <w:sz w:val="24"/>
        </w:rPr>
        <w:t xml:space="preserve">The separator shall be designed for gravity separation of sand, grit, settleable solids, or semisolids, and free oils (hydrocarbons and other petroleum products) from wastewater associated with </w:t>
      </w:r>
      <w:r>
        <w:rPr>
          <w:rFonts w:ascii="Arial" w:hAnsi="Arial"/>
          <w:sz w:val="24"/>
          <w:u w:val="single"/>
        </w:rPr>
        <w:t xml:space="preserve">____________ </w:t>
      </w:r>
      <w:r>
        <w:rPr>
          <w:rFonts w:ascii="Arial" w:hAnsi="Arial"/>
          <w:sz w:val="24"/>
        </w:rPr>
        <w:t>operations.  Separator shall be installed aboveground, at grade, or below ground in a vault.  The source of the influent to the separator shall be gravity flow from storm water runoff, hydrocarbon spills, and/or cleaning/maintenance operations.</w:t>
      </w:r>
    </w:p>
    <w:p w14:paraId="393072CB" w14:textId="77777777" w:rsidR="00530C42" w:rsidRDefault="00530C42">
      <w:pPr>
        <w:rPr>
          <w:rFonts w:ascii="Arial" w:hAnsi="Arial"/>
          <w:sz w:val="24"/>
        </w:rPr>
      </w:pPr>
    </w:p>
    <w:p w14:paraId="12B09FB4" w14:textId="77777777" w:rsidR="00530C42" w:rsidRDefault="00530C42">
      <w:pPr>
        <w:rPr>
          <w:rFonts w:ascii="Arial" w:hAnsi="Arial"/>
          <w:sz w:val="24"/>
        </w:rPr>
      </w:pPr>
    </w:p>
    <w:p w14:paraId="1CEB7A95" w14:textId="77777777" w:rsidR="00530C42" w:rsidRDefault="00327551">
      <w:pPr>
        <w:rPr>
          <w:rFonts w:ascii="Arial" w:hAnsi="Arial"/>
          <w:sz w:val="24"/>
        </w:rPr>
      </w:pPr>
      <w:r>
        <w:rPr>
          <w:rFonts w:ascii="Arial" w:hAnsi="Arial"/>
          <w:sz w:val="24"/>
        </w:rPr>
        <w:t>Specifications</w:t>
      </w:r>
    </w:p>
    <w:p w14:paraId="10CA76D4" w14:textId="77777777" w:rsidR="00530C42" w:rsidRDefault="00530C42">
      <w:pPr>
        <w:rPr>
          <w:rFonts w:ascii="Arial" w:hAnsi="Arial"/>
          <w:sz w:val="24"/>
        </w:rPr>
      </w:pPr>
    </w:p>
    <w:p w14:paraId="423D6E8B" w14:textId="5CC06A8F" w:rsidR="00530C42" w:rsidRDefault="00327551">
      <w:pPr>
        <w:rPr>
          <w:rFonts w:ascii="Arial" w:hAnsi="Arial"/>
          <w:sz w:val="24"/>
        </w:rPr>
      </w:pPr>
      <w:r>
        <w:rPr>
          <w:rFonts w:ascii="Arial" w:hAnsi="Arial"/>
          <w:sz w:val="24"/>
        </w:rPr>
        <w:t>Provide and install ______ Highland Tank Model R-HTC-4000 Aboveground Parallel Corrugated Plate Gravity Displacement Oil/Water Separator.  Separator shall be furnished with oil level alarm system.  Oil/Water Separator shall be 18’0” long X 6’0” wide X 5”0” high, having a total volume of 4000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49C6A7EE" w14:textId="77777777" w:rsidR="00530C42" w:rsidRDefault="00530C42">
      <w:pPr>
        <w:rPr>
          <w:rFonts w:ascii="Arial" w:hAnsi="Arial"/>
          <w:sz w:val="24"/>
        </w:rPr>
      </w:pPr>
    </w:p>
    <w:p w14:paraId="652542B4" w14:textId="77777777" w:rsidR="00530C42" w:rsidRDefault="00530C42">
      <w:pPr>
        <w:rPr>
          <w:rFonts w:ascii="Arial" w:hAnsi="Arial"/>
          <w:sz w:val="24"/>
        </w:rPr>
      </w:pPr>
    </w:p>
    <w:p w14:paraId="617CED26" w14:textId="77777777" w:rsidR="00530C42" w:rsidRDefault="00327551">
      <w:pPr>
        <w:rPr>
          <w:rFonts w:ascii="Arial" w:hAnsi="Arial"/>
          <w:sz w:val="24"/>
        </w:rPr>
      </w:pPr>
      <w:r>
        <w:rPr>
          <w:rFonts w:ascii="Arial" w:hAnsi="Arial"/>
          <w:sz w:val="24"/>
        </w:rPr>
        <w:t>Performance</w:t>
      </w:r>
    </w:p>
    <w:p w14:paraId="10A2AB04" w14:textId="77777777" w:rsidR="00530C42" w:rsidRDefault="00530C42">
      <w:pPr>
        <w:rPr>
          <w:rFonts w:ascii="Arial" w:hAnsi="Arial"/>
          <w:sz w:val="24"/>
        </w:rPr>
      </w:pPr>
    </w:p>
    <w:p w14:paraId="4B87749F" w14:textId="77777777" w:rsidR="00530C42" w:rsidRDefault="00327551">
      <w:pPr>
        <w:rPr>
          <w:rFonts w:ascii="Arial" w:hAnsi="Arial"/>
          <w:sz w:val="24"/>
        </w:rPr>
      </w:pPr>
      <w:r>
        <w:rPr>
          <w:rFonts w:ascii="Arial" w:hAnsi="Arial"/>
          <w:sz w:val="24"/>
        </w:rPr>
        <w:t>Influent Characteristics</w:t>
      </w:r>
    </w:p>
    <w:p w14:paraId="2691CC22" w14:textId="77777777" w:rsidR="00530C42" w:rsidRDefault="00530C42">
      <w:pPr>
        <w:rPr>
          <w:rFonts w:ascii="Arial" w:hAnsi="Arial"/>
          <w:sz w:val="24"/>
        </w:rPr>
      </w:pPr>
    </w:p>
    <w:p w14:paraId="4250FC0F" w14:textId="77777777" w:rsidR="00530C42" w:rsidRDefault="00327551">
      <w:pPr>
        <w:rPr>
          <w:rFonts w:ascii="Arial" w:hAnsi="Arial"/>
          <w:sz w:val="24"/>
        </w:rPr>
      </w:pPr>
      <w:r>
        <w:rPr>
          <w:rFonts w:ascii="Arial" w:hAnsi="Arial"/>
          <w:sz w:val="24"/>
        </w:rPr>
        <w:t>Provide separator designed for intermittent and variable flows of water, oil, or any combination of non-emulsified oil-water mixtures ranging from zero to 400 gal/min.  Minimum separator retention time shall be 10 minutes.  Operating temperatures of the influent oil in water mixture shall range from 40 degrees F. to 80 degrees F.  The specific gravity of the oils at operating temperatures shall range from 0.71 to 0.92.  The specific gravity of the fresh water at operating temperatures shall range from 1.00 to 1.03.</w:t>
      </w:r>
    </w:p>
    <w:p w14:paraId="37E29EC5" w14:textId="5CC4DF11" w:rsidR="00530C42" w:rsidRDefault="00530C42">
      <w:pPr>
        <w:rPr>
          <w:rFonts w:ascii="Arial" w:hAnsi="Arial"/>
          <w:sz w:val="24"/>
        </w:rPr>
      </w:pPr>
    </w:p>
    <w:p w14:paraId="07AE7754" w14:textId="4B24976C" w:rsidR="001D517C" w:rsidRDefault="001D517C">
      <w:pPr>
        <w:rPr>
          <w:rFonts w:ascii="Arial" w:hAnsi="Arial"/>
          <w:sz w:val="24"/>
        </w:rPr>
      </w:pPr>
    </w:p>
    <w:p w14:paraId="55D1F621" w14:textId="77777777" w:rsidR="001D517C" w:rsidRDefault="001D517C">
      <w:pPr>
        <w:rPr>
          <w:rFonts w:ascii="Arial" w:hAnsi="Arial"/>
          <w:sz w:val="24"/>
        </w:rPr>
      </w:pPr>
    </w:p>
    <w:p w14:paraId="0BF1C4CF" w14:textId="77777777" w:rsidR="00530C42" w:rsidRDefault="00327551">
      <w:pPr>
        <w:rPr>
          <w:rFonts w:ascii="Arial" w:hAnsi="Arial"/>
          <w:sz w:val="24"/>
        </w:rPr>
      </w:pPr>
      <w:r>
        <w:rPr>
          <w:rFonts w:ascii="Arial" w:hAnsi="Arial"/>
          <w:sz w:val="24"/>
        </w:rPr>
        <w:lastRenderedPageBreak/>
        <w:t>Effluent Characteristics</w:t>
      </w:r>
    </w:p>
    <w:p w14:paraId="5517F97D" w14:textId="77777777" w:rsidR="00530C42" w:rsidRDefault="00530C42">
      <w:pPr>
        <w:rPr>
          <w:rFonts w:ascii="Arial" w:hAnsi="Arial"/>
          <w:sz w:val="24"/>
        </w:rPr>
      </w:pPr>
    </w:p>
    <w:p w14:paraId="13CB0468" w14:textId="77777777" w:rsidR="00530C42" w:rsidRDefault="00327551">
      <w:pPr>
        <w:rPr>
          <w:rFonts w:ascii="Arial" w:hAnsi="Arial"/>
          <w:sz w:val="24"/>
        </w:rPr>
      </w:pPr>
      <w:r>
        <w:rPr>
          <w:rFonts w:ascii="Arial" w:hAnsi="Arial"/>
          <w:sz w:val="24"/>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E74D502" w14:textId="77777777" w:rsidR="00530C42" w:rsidRDefault="00530C42">
      <w:pPr>
        <w:rPr>
          <w:rFonts w:ascii="Arial" w:hAnsi="Arial"/>
          <w:sz w:val="24"/>
        </w:rPr>
      </w:pPr>
    </w:p>
    <w:p w14:paraId="131C95A8" w14:textId="77777777" w:rsidR="00530C42" w:rsidRDefault="00530C42">
      <w:pPr>
        <w:rPr>
          <w:rFonts w:ascii="Arial" w:hAnsi="Arial"/>
          <w:sz w:val="24"/>
        </w:rPr>
      </w:pPr>
    </w:p>
    <w:p w14:paraId="4AA5FF1C" w14:textId="77777777" w:rsidR="00530C42" w:rsidRDefault="00327551">
      <w:pPr>
        <w:rPr>
          <w:rFonts w:ascii="Arial" w:hAnsi="Arial"/>
          <w:sz w:val="24"/>
        </w:rPr>
      </w:pPr>
      <w:r>
        <w:rPr>
          <w:rFonts w:ascii="Arial" w:hAnsi="Arial"/>
          <w:sz w:val="24"/>
        </w:rPr>
        <w:t>Design Criteria</w:t>
      </w:r>
    </w:p>
    <w:p w14:paraId="5D38AE09" w14:textId="77777777" w:rsidR="00530C42" w:rsidRDefault="00530C42">
      <w:pPr>
        <w:rPr>
          <w:rFonts w:ascii="Arial" w:hAnsi="Arial"/>
          <w:sz w:val="24"/>
        </w:rPr>
      </w:pPr>
    </w:p>
    <w:p w14:paraId="299BEC06" w14:textId="77777777" w:rsidR="00530C42" w:rsidRDefault="00327551">
      <w:pPr>
        <w:rPr>
          <w:rFonts w:ascii="Arial" w:hAnsi="Arial"/>
          <w:sz w:val="24"/>
        </w:rPr>
      </w:pPr>
      <w:r>
        <w:rPr>
          <w:rFonts w:ascii="Arial" w:hAnsi="Arial"/>
          <w:sz w:val="24"/>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______ sq. ft.  The total effective surface area of the polypropylene impingement coalescer shall be ______ sq. ft.  Calculations, signed and stamped by a Registered Professional Engineer shall be submitted to document specified effluent quality based on complete removal of the specified oil globule.  A separator with lower effective surface areas is not permissible. </w:t>
      </w:r>
    </w:p>
    <w:p w14:paraId="5DBA7559" w14:textId="77777777" w:rsidR="00530C42" w:rsidRDefault="00530C42">
      <w:pPr>
        <w:rPr>
          <w:rFonts w:ascii="Arial" w:hAnsi="Arial"/>
          <w:sz w:val="24"/>
        </w:rPr>
      </w:pPr>
    </w:p>
    <w:p w14:paraId="5534C8FF" w14:textId="77777777" w:rsidR="00530C42" w:rsidRDefault="00327551">
      <w:pPr>
        <w:rPr>
          <w:rFonts w:ascii="Arial" w:hAnsi="Arial"/>
          <w:sz w:val="24"/>
        </w:rPr>
      </w:pPr>
      <w:r>
        <w:rPr>
          <w:rFonts w:ascii="Arial" w:hAnsi="Arial"/>
          <w:sz w:val="24"/>
        </w:rPr>
        <w:t>Separator shall be the standard patented product of a steel tank manufacturer regularly engaged in the production of such equipment. Manufacturer shall have at least 10 years experience in manufacturing similar units for identical applications.  No subcontracting of tank fabrication shall be permitted.</w:t>
      </w:r>
    </w:p>
    <w:p w14:paraId="650FCD87" w14:textId="77777777" w:rsidR="00530C42" w:rsidRDefault="00530C42">
      <w:pPr>
        <w:rPr>
          <w:rFonts w:ascii="Arial" w:hAnsi="Arial"/>
          <w:sz w:val="24"/>
        </w:rPr>
      </w:pPr>
    </w:p>
    <w:p w14:paraId="2A4CADA7" w14:textId="77777777" w:rsidR="00530C42" w:rsidRDefault="00327551">
      <w:pPr>
        <w:rPr>
          <w:rFonts w:ascii="Arial" w:hAnsi="Arial"/>
          <w:sz w:val="24"/>
        </w:rPr>
      </w:pPr>
      <w:r>
        <w:rPr>
          <w:rFonts w:ascii="Arial" w:hAnsi="Arial"/>
          <w:sz w:val="24"/>
        </w:rPr>
        <w:t>Separator shall be fabricated, inspected, and tested for leakage before shipment from the factory by manufacturer as a completely assembled vessel ready for installation.</w:t>
      </w:r>
    </w:p>
    <w:p w14:paraId="5AAEB1F0" w14:textId="77777777" w:rsidR="00530C42" w:rsidRDefault="00530C42">
      <w:pPr>
        <w:rPr>
          <w:rFonts w:ascii="Arial" w:hAnsi="Arial"/>
          <w:sz w:val="24"/>
        </w:rPr>
      </w:pPr>
    </w:p>
    <w:p w14:paraId="7AED2EF5" w14:textId="77777777" w:rsidR="00530C42" w:rsidRDefault="00327551">
      <w:pPr>
        <w:rPr>
          <w:rFonts w:ascii="Arial" w:hAnsi="Arial"/>
          <w:sz w:val="24"/>
        </w:rPr>
      </w:pPr>
      <w:r>
        <w:rPr>
          <w:rFonts w:ascii="Arial" w:hAnsi="Arial"/>
          <w:sz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782F66FC" w14:textId="77777777" w:rsidR="00530C42" w:rsidRDefault="00530C42">
      <w:pPr>
        <w:rPr>
          <w:rFonts w:ascii="Arial" w:hAnsi="Arial"/>
          <w:sz w:val="24"/>
        </w:rPr>
      </w:pPr>
    </w:p>
    <w:p w14:paraId="4D8EC6A9" w14:textId="77777777" w:rsidR="00530C42" w:rsidRDefault="00327551">
      <w:pPr>
        <w:rPr>
          <w:rFonts w:ascii="Arial" w:hAnsi="Arial"/>
          <w:sz w:val="24"/>
        </w:rPr>
      </w:pPr>
      <w:r>
        <w:rPr>
          <w:rFonts w:ascii="Arial" w:hAnsi="Arial"/>
          <w:sz w:val="24"/>
        </w:rPr>
        <w:t>Separator shall have an oil storage capacity equal to about 30% of the total vessel volume and an emergency oil spill capacity equal to 60% of the total vessel volume.</w:t>
      </w:r>
    </w:p>
    <w:p w14:paraId="796817A2" w14:textId="77777777" w:rsidR="00530C42" w:rsidRDefault="00530C42">
      <w:pPr>
        <w:rPr>
          <w:rFonts w:ascii="Arial" w:hAnsi="Arial"/>
          <w:sz w:val="24"/>
        </w:rPr>
      </w:pPr>
    </w:p>
    <w:p w14:paraId="295FA4AE" w14:textId="77777777" w:rsidR="00530C42" w:rsidRDefault="00327551">
      <w:pPr>
        <w:rPr>
          <w:rFonts w:ascii="Arial" w:hAnsi="Arial"/>
          <w:sz w:val="24"/>
        </w:rPr>
      </w:pPr>
      <w:r>
        <w:rPr>
          <w:rFonts w:ascii="Arial" w:hAnsi="Arial"/>
          <w:sz w:val="24"/>
        </w:rPr>
        <w:t xml:space="preserve">Separator shall consist of inlet and outlet connections, non-clogging flow distributor and energy dissipater device, stationary under flow baffle, presettling chamber for solids, sludge baffle, oil coalescing chamber with removable parallel corrugated plate coalescer, with removable plates, and sectionalized removable polypropylene impingement coalescers to optimize separation of free oil from water, oil dam, effluent transfer pipes, </w:t>
      </w:r>
      <w:r>
        <w:rPr>
          <w:rFonts w:ascii="Arial" w:eastAsia="MS Mincho" w:hAnsi="Arial"/>
          <w:sz w:val="24"/>
        </w:rPr>
        <w:t>an effluent clearwell,</w:t>
      </w:r>
      <w:r>
        <w:rPr>
          <w:rFonts w:ascii="Arial" w:hAnsi="Arial"/>
          <w:sz w:val="24"/>
        </w:rPr>
        <w:t xml:space="preserve"> effluent downcomer at the outlet end of the separator to allow for discharge from the bottom of the effluent clearwell only, access cover(s) for each chamber, fittings for vent, oil and sludge pump-out, sampling, gauging, drain, and lifting lugs.</w:t>
      </w:r>
    </w:p>
    <w:p w14:paraId="553D6061" w14:textId="77777777" w:rsidR="00530C42" w:rsidRDefault="00530C42">
      <w:pPr>
        <w:rPr>
          <w:rFonts w:ascii="Arial" w:hAnsi="Arial"/>
          <w:sz w:val="24"/>
        </w:rPr>
      </w:pPr>
    </w:p>
    <w:p w14:paraId="2EA759C8" w14:textId="77777777" w:rsidR="00530C42" w:rsidRDefault="00530C42">
      <w:pPr>
        <w:rPr>
          <w:rFonts w:ascii="Arial" w:hAnsi="Arial"/>
          <w:sz w:val="24"/>
        </w:rPr>
      </w:pPr>
    </w:p>
    <w:p w14:paraId="652C20C0" w14:textId="77777777" w:rsidR="00530C42" w:rsidRDefault="00327551">
      <w:pPr>
        <w:rPr>
          <w:rFonts w:ascii="Arial" w:hAnsi="Arial"/>
          <w:sz w:val="24"/>
        </w:rPr>
      </w:pPr>
      <w:r>
        <w:rPr>
          <w:rFonts w:ascii="Arial" w:hAnsi="Arial"/>
          <w:sz w:val="24"/>
        </w:rPr>
        <w:t>Description</w:t>
      </w:r>
    </w:p>
    <w:p w14:paraId="68F15072" w14:textId="77777777" w:rsidR="00530C42" w:rsidRDefault="00530C42">
      <w:pPr>
        <w:rPr>
          <w:rFonts w:ascii="Arial" w:hAnsi="Arial"/>
          <w:sz w:val="24"/>
        </w:rPr>
      </w:pPr>
    </w:p>
    <w:p w14:paraId="0CA8186F" w14:textId="77777777" w:rsidR="00530C42" w:rsidRDefault="00327551">
      <w:pPr>
        <w:rPr>
          <w:rFonts w:ascii="Arial" w:hAnsi="Arial"/>
          <w:sz w:val="24"/>
        </w:rPr>
      </w:pPr>
      <w:r>
        <w:rPr>
          <w:rFonts w:ascii="Arial" w:hAnsi="Arial"/>
          <w:sz w:val="24"/>
        </w:rPr>
        <w:t xml:space="preserve">Separator shall be standard prefabricated, inclined parallel-corrugated plate, gravity displacement type unit with removable top cover(s).  </w:t>
      </w:r>
    </w:p>
    <w:p w14:paraId="27BE06D5" w14:textId="77777777" w:rsidR="00530C42" w:rsidRDefault="00530C42">
      <w:pPr>
        <w:rPr>
          <w:rFonts w:ascii="Arial" w:hAnsi="Arial"/>
          <w:sz w:val="24"/>
        </w:rPr>
      </w:pPr>
    </w:p>
    <w:p w14:paraId="4018EF2C" w14:textId="77777777" w:rsidR="00530C42" w:rsidRDefault="00327551">
      <w:pPr>
        <w:rPr>
          <w:rFonts w:ascii="Arial" w:hAnsi="Arial"/>
          <w:sz w:val="24"/>
        </w:rPr>
      </w:pPr>
      <w:r>
        <w:rPr>
          <w:rFonts w:ascii="Arial" w:hAnsi="Arial"/>
          <w:sz w:val="24"/>
        </w:rPr>
        <w:t>The separator shall be a pre-packaged, pre-engineered, ready to install unit consisting of:</w:t>
      </w:r>
    </w:p>
    <w:p w14:paraId="179C4401" w14:textId="77777777" w:rsidR="00530C42" w:rsidRDefault="00530C42">
      <w:pPr>
        <w:rPr>
          <w:rFonts w:ascii="Arial" w:hAnsi="Arial"/>
          <w:sz w:val="24"/>
        </w:rPr>
      </w:pPr>
    </w:p>
    <w:p w14:paraId="60E985BF" w14:textId="77777777" w:rsidR="00530C42" w:rsidRDefault="00327551">
      <w:pPr>
        <w:rPr>
          <w:rFonts w:ascii="Arial" w:hAnsi="Arial"/>
          <w:sz w:val="24"/>
        </w:rPr>
      </w:pPr>
      <w:r>
        <w:rPr>
          <w:rFonts w:ascii="Arial" w:hAnsi="Arial"/>
          <w:sz w:val="24"/>
        </w:rPr>
        <w:t>An influent connection ______ inch, flanged.  An internal influent nozzle at the inlet end of the separator.  Nozzle discharge to be located at the furthest diagonal point from the effluent discharge opening.</w:t>
      </w:r>
    </w:p>
    <w:p w14:paraId="79BCD0BE" w14:textId="77777777" w:rsidR="00530C42" w:rsidRDefault="00530C42">
      <w:pPr>
        <w:rPr>
          <w:rFonts w:ascii="Arial" w:hAnsi="Arial"/>
          <w:sz w:val="24"/>
        </w:rPr>
      </w:pPr>
    </w:p>
    <w:p w14:paraId="5BA0F97D" w14:textId="77777777" w:rsidR="00530C42" w:rsidRDefault="00327551">
      <w:pPr>
        <w:rPr>
          <w:rFonts w:ascii="Arial" w:hAnsi="Arial"/>
          <w:sz w:val="24"/>
        </w:rPr>
      </w:pPr>
      <w:r>
        <w:rPr>
          <w:rFonts w:ascii="Arial" w:hAnsi="Arial"/>
          <w:sz w:val="24"/>
        </w:rPr>
        <w:t>A velocity head diffusion baffle at the inlet to:</w:t>
      </w:r>
    </w:p>
    <w:p w14:paraId="499022FA" w14:textId="77777777" w:rsidR="00530C42" w:rsidRDefault="00530C42">
      <w:pPr>
        <w:rPr>
          <w:rFonts w:ascii="Arial" w:hAnsi="Arial"/>
          <w:sz w:val="24"/>
        </w:rPr>
      </w:pPr>
    </w:p>
    <w:p w14:paraId="399AA03F" w14:textId="77777777" w:rsidR="00530C42" w:rsidRDefault="00327551">
      <w:pPr>
        <w:rPr>
          <w:rFonts w:ascii="Arial" w:hAnsi="Arial"/>
          <w:sz w:val="24"/>
        </w:rPr>
      </w:pPr>
      <w:r>
        <w:rPr>
          <w:rFonts w:ascii="Arial" w:hAnsi="Arial"/>
          <w:sz w:val="24"/>
        </w:rPr>
        <w:t>·</w:t>
      </w:r>
      <w:r>
        <w:rPr>
          <w:rFonts w:ascii="Arial" w:hAnsi="Arial"/>
          <w:sz w:val="24"/>
        </w:rPr>
        <w:tab/>
        <w:t>reduce horizontal velocity and flow turbulence.</w:t>
      </w:r>
    </w:p>
    <w:p w14:paraId="7C02590A" w14:textId="77777777" w:rsidR="00530C42" w:rsidRDefault="00327551">
      <w:pPr>
        <w:rPr>
          <w:rFonts w:ascii="Arial" w:hAnsi="Arial"/>
          <w:sz w:val="24"/>
        </w:rPr>
      </w:pPr>
      <w:r>
        <w:rPr>
          <w:rFonts w:ascii="Arial" w:hAnsi="Arial"/>
          <w:sz w:val="24"/>
        </w:rPr>
        <w:t>·</w:t>
      </w:r>
      <w:r>
        <w:rPr>
          <w:rFonts w:ascii="Arial" w:hAnsi="Arial"/>
          <w:sz w:val="24"/>
        </w:rPr>
        <w:tab/>
        <w:t>distribute the flow equally over the separators cross sectional area.</w:t>
      </w:r>
    </w:p>
    <w:p w14:paraId="011ED1C4" w14:textId="77777777" w:rsidR="00530C42" w:rsidRDefault="00327551">
      <w:pPr>
        <w:rPr>
          <w:rFonts w:ascii="Arial" w:hAnsi="Arial"/>
          <w:sz w:val="24"/>
        </w:rPr>
      </w:pPr>
      <w:r>
        <w:rPr>
          <w:rFonts w:ascii="Arial" w:hAnsi="Arial"/>
          <w:sz w:val="24"/>
        </w:rPr>
        <w:t>·</w:t>
      </w:r>
      <w:r>
        <w:rPr>
          <w:rFonts w:ascii="Arial" w:hAnsi="Arial"/>
          <w:sz w:val="24"/>
        </w:rPr>
        <w:tab/>
        <w:t>direct the flow in a serpentine path in order to enhance hydraulic characteristics and fully utilize all separator volume.</w:t>
      </w:r>
    </w:p>
    <w:p w14:paraId="16620CDE" w14:textId="77777777" w:rsidR="00530C42" w:rsidRDefault="00327551">
      <w:pPr>
        <w:rPr>
          <w:rFonts w:ascii="Arial" w:hAnsi="Arial"/>
          <w:sz w:val="24"/>
        </w:rPr>
      </w:pPr>
      <w:r>
        <w:rPr>
          <w:rFonts w:ascii="Arial" w:hAnsi="Arial"/>
          <w:sz w:val="24"/>
        </w:rPr>
        <w:t>·</w:t>
      </w:r>
      <w:r>
        <w:rPr>
          <w:rFonts w:ascii="Arial" w:hAnsi="Arial"/>
          <w:sz w:val="24"/>
        </w:rPr>
        <w:tab/>
        <w:t>completely isolate all inlet turbulence from the separation chamber.</w:t>
      </w:r>
    </w:p>
    <w:p w14:paraId="4A94711F" w14:textId="77777777" w:rsidR="00530C42" w:rsidRDefault="00530C42">
      <w:pPr>
        <w:rPr>
          <w:rFonts w:ascii="Arial" w:hAnsi="Arial"/>
          <w:sz w:val="24"/>
        </w:rPr>
      </w:pPr>
    </w:p>
    <w:p w14:paraId="3BC49AC0" w14:textId="77777777" w:rsidR="00530C42" w:rsidRDefault="00327551">
      <w:pPr>
        <w:rPr>
          <w:rFonts w:ascii="Arial" w:hAnsi="Arial"/>
          <w:sz w:val="24"/>
        </w:rPr>
      </w:pPr>
      <w:r>
        <w:rPr>
          <w:rFonts w:ascii="Arial" w:hAnsi="Arial"/>
          <w:sz w:val="24"/>
        </w:rPr>
        <w:t>A sediment chamber to disperse flow and collect oily solids and sediments.</w:t>
      </w:r>
    </w:p>
    <w:p w14:paraId="007189E0" w14:textId="77777777" w:rsidR="00530C42" w:rsidRDefault="00530C42">
      <w:pPr>
        <w:rPr>
          <w:rFonts w:ascii="Arial" w:hAnsi="Arial"/>
          <w:sz w:val="24"/>
        </w:rPr>
      </w:pPr>
    </w:p>
    <w:p w14:paraId="1EC30CDA" w14:textId="77777777" w:rsidR="00530C42" w:rsidRDefault="00327551">
      <w:pPr>
        <w:rPr>
          <w:rFonts w:ascii="Arial" w:hAnsi="Arial"/>
          <w:sz w:val="24"/>
        </w:rPr>
      </w:pPr>
      <w:r>
        <w:rPr>
          <w:rFonts w:ascii="Arial" w:hAnsi="Arial"/>
          <w:sz w:val="24"/>
        </w:rPr>
        <w:t>A sludge baffle to retain settleable solids and sediment and prevent them from entering the separation chamber.</w:t>
      </w:r>
    </w:p>
    <w:p w14:paraId="3BD0BCB2" w14:textId="77777777" w:rsidR="00530C42" w:rsidRDefault="00530C42">
      <w:pPr>
        <w:rPr>
          <w:rFonts w:ascii="Arial" w:hAnsi="Arial"/>
          <w:sz w:val="24"/>
        </w:rPr>
      </w:pPr>
    </w:p>
    <w:p w14:paraId="51E3D22A" w14:textId="77777777" w:rsidR="00530C42" w:rsidRDefault="00327551">
      <w:pPr>
        <w:rPr>
          <w:rFonts w:ascii="Arial" w:hAnsi="Arial"/>
          <w:sz w:val="24"/>
        </w:rPr>
      </w:pPr>
      <w:r>
        <w:rPr>
          <w:rFonts w:ascii="Arial" w:hAnsi="Arial"/>
          <w:sz w:val="24"/>
        </w:rPr>
        <w:t>An Oil/Water Separation Chamber containing a removable, inclined parallel corrugated plate coalescer, with removable corrugated plates sloped downward toward the sediment chamber, to:</w:t>
      </w:r>
    </w:p>
    <w:p w14:paraId="2C028128" w14:textId="77777777" w:rsidR="00530C42" w:rsidRDefault="00530C42">
      <w:pPr>
        <w:rPr>
          <w:rFonts w:ascii="Arial" w:hAnsi="Arial"/>
          <w:sz w:val="24"/>
        </w:rPr>
      </w:pPr>
    </w:p>
    <w:p w14:paraId="7721A495" w14:textId="77777777" w:rsidR="00530C42" w:rsidRDefault="00327551">
      <w:pPr>
        <w:rPr>
          <w:rFonts w:ascii="Arial" w:hAnsi="Arial"/>
          <w:sz w:val="24"/>
        </w:rPr>
      </w:pPr>
      <w:r>
        <w:rPr>
          <w:rFonts w:ascii="Arial" w:hAnsi="Arial"/>
          <w:sz w:val="24"/>
        </w:rPr>
        <w:t>·</w:t>
      </w:r>
      <w:r>
        <w:rPr>
          <w:rFonts w:ascii="Arial" w:hAnsi="Arial"/>
          <w:sz w:val="24"/>
        </w:rPr>
        <w:tab/>
        <w:t>shorten the vertical distance than an oil globule has to rise for effective removal.  Minimum plate gap to be 3/4".</w:t>
      </w:r>
    </w:p>
    <w:p w14:paraId="60B3EC27" w14:textId="77777777" w:rsidR="00530C42" w:rsidRDefault="00327551">
      <w:pPr>
        <w:rPr>
          <w:rFonts w:ascii="Arial" w:hAnsi="Arial"/>
          <w:sz w:val="24"/>
        </w:rPr>
      </w:pPr>
      <w:r>
        <w:rPr>
          <w:rFonts w:ascii="Arial" w:hAnsi="Arial"/>
          <w:sz w:val="24"/>
        </w:rPr>
        <w:t>·</w:t>
      </w:r>
      <w:r>
        <w:rPr>
          <w:rFonts w:ascii="Arial" w:hAnsi="Arial"/>
          <w:sz w:val="24"/>
        </w:rPr>
        <w:tab/>
        <w:t>enhance coalescence by generating a slight sinusoidal (wave like) flow pattern thereby causing smaller, slow rising, oil globules to coalesce together on the undersides of the plates forming larger, rapidly rising sheets of oil.</w:t>
      </w:r>
    </w:p>
    <w:p w14:paraId="7177701A" w14:textId="77777777" w:rsidR="00530C42" w:rsidRDefault="00327551">
      <w:pPr>
        <w:rPr>
          <w:rFonts w:ascii="Arial" w:hAnsi="Arial"/>
          <w:sz w:val="24"/>
        </w:rPr>
      </w:pPr>
      <w:r>
        <w:rPr>
          <w:rFonts w:ascii="Arial" w:hAnsi="Arial"/>
          <w:sz w:val="24"/>
        </w:rPr>
        <w:t>·</w:t>
      </w:r>
      <w:r>
        <w:rPr>
          <w:rFonts w:ascii="Arial" w:hAnsi="Arial"/>
          <w:sz w:val="24"/>
        </w:rPr>
        <w:tab/>
        <w:t xml:space="preserve">direct the paths of the separated oil to the surface of the separator.  </w:t>
      </w:r>
    </w:p>
    <w:p w14:paraId="0E1490C8" w14:textId="77777777" w:rsidR="00530C42" w:rsidRDefault="00530C42">
      <w:pPr>
        <w:rPr>
          <w:rFonts w:ascii="Arial" w:hAnsi="Arial"/>
          <w:sz w:val="24"/>
        </w:rPr>
      </w:pPr>
    </w:p>
    <w:p w14:paraId="4602FB88" w14:textId="77777777" w:rsidR="00530C42" w:rsidRDefault="00327551">
      <w:pPr>
        <w:rPr>
          <w:rFonts w:ascii="Arial" w:hAnsi="Arial"/>
          <w:sz w:val="24"/>
        </w:rPr>
      </w:pPr>
      <w:r>
        <w:rPr>
          <w:rFonts w:ascii="Arial" w:hAnsi="Arial"/>
          <w:sz w:val="24"/>
        </w:rPr>
        <w:t>and a sectionalized removable "Petro-Screen" polypropylene impingement coalescer designed to intercept oil globules of less than 20 microns in diameter.  Heavy, one-piece impingement coalescers are not permissible.</w:t>
      </w:r>
    </w:p>
    <w:p w14:paraId="7B78770E" w14:textId="77777777" w:rsidR="00530C42" w:rsidRDefault="00530C42">
      <w:pPr>
        <w:rPr>
          <w:rFonts w:ascii="Arial" w:hAnsi="Arial"/>
          <w:sz w:val="24"/>
        </w:rPr>
      </w:pPr>
    </w:p>
    <w:p w14:paraId="577C4E71" w14:textId="77777777" w:rsidR="00530C42" w:rsidRDefault="00327551">
      <w:pPr>
        <w:rPr>
          <w:rFonts w:ascii="Arial" w:hAnsi="Arial"/>
          <w:sz w:val="24"/>
        </w:rPr>
      </w:pPr>
      <w:r>
        <w:rPr>
          <w:rFonts w:ascii="Arial" w:hAnsi="Arial"/>
          <w:sz w:val="24"/>
        </w:rPr>
        <w:t>An oil dam with two (2) effluent transfer pipes.</w:t>
      </w:r>
    </w:p>
    <w:p w14:paraId="56DA36B7" w14:textId="77777777" w:rsidR="00530C42" w:rsidRDefault="00530C42">
      <w:pPr>
        <w:rPr>
          <w:rFonts w:ascii="Arial" w:hAnsi="Arial"/>
          <w:sz w:val="24"/>
        </w:rPr>
      </w:pPr>
    </w:p>
    <w:p w14:paraId="0C71F961" w14:textId="77777777" w:rsidR="00530C42" w:rsidRDefault="00327551">
      <w:pPr>
        <w:rPr>
          <w:rFonts w:ascii="Arial" w:eastAsia="MS Mincho" w:hAnsi="Arial"/>
          <w:sz w:val="24"/>
        </w:rPr>
      </w:pPr>
      <w:r>
        <w:rPr>
          <w:rFonts w:ascii="Arial" w:eastAsia="MS Mincho" w:hAnsi="Arial"/>
          <w:sz w:val="24"/>
        </w:rPr>
        <w:t>An effluent clearwell.</w:t>
      </w:r>
    </w:p>
    <w:p w14:paraId="0B78AB20" w14:textId="77777777" w:rsidR="00530C42" w:rsidRDefault="00530C42">
      <w:pPr>
        <w:rPr>
          <w:rFonts w:ascii="Arial" w:hAnsi="Arial"/>
          <w:sz w:val="24"/>
        </w:rPr>
      </w:pPr>
    </w:p>
    <w:p w14:paraId="2F499689" w14:textId="77777777" w:rsidR="00530C42" w:rsidRDefault="00327551">
      <w:pPr>
        <w:rPr>
          <w:rFonts w:ascii="Arial" w:hAnsi="Arial"/>
          <w:sz w:val="24"/>
        </w:rPr>
      </w:pPr>
      <w:r>
        <w:rPr>
          <w:rFonts w:ascii="Arial" w:hAnsi="Arial"/>
          <w:sz w:val="24"/>
        </w:rPr>
        <w:lastRenderedPageBreak/>
        <w:t>An internal effluent downcomer at the outlet end of the separator, to allow for discharge from the bottom of the effluent clearwell only.</w:t>
      </w:r>
    </w:p>
    <w:p w14:paraId="3520CA2E" w14:textId="77777777" w:rsidR="00530C42" w:rsidRDefault="00530C42">
      <w:pPr>
        <w:rPr>
          <w:rFonts w:ascii="Arial" w:hAnsi="Arial"/>
          <w:sz w:val="24"/>
        </w:rPr>
      </w:pPr>
    </w:p>
    <w:p w14:paraId="45F91A55" w14:textId="77777777" w:rsidR="00530C42" w:rsidRDefault="00327551">
      <w:pPr>
        <w:rPr>
          <w:rFonts w:ascii="Arial" w:hAnsi="Arial"/>
          <w:sz w:val="24"/>
        </w:rPr>
      </w:pPr>
      <w:r>
        <w:rPr>
          <w:rFonts w:ascii="Arial" w:hAnsi="Arial"/>
          <w:sz w:val="24"/>
        </w:rPr>
        <w:t>An effluent connection ______ inch, flanged.</w:t>
      </w:r>
    </w:p>
    <w:p w14:paraId="0073FDA2" w14:textId="77777777" w:rsidR="00530C42" w:rsidRDefault="00530C42">
      <w:pPr>
        <w:rPr>
          <w:rFonts w:ascii="Arial" w:hAnsi="Arial"/>
          <w:sz w:val="24"/>
        </w:rPr>
      </w:pPr>
    </w:p>
    <w:p w14:paraId="7CD5DFA7" w14:textId="77777777" w:rsidR="00530C42" w:rsidRDefault="00327551">
      <w:pPr>
        <w:rPr>
          <w:rFonts w:ascii="Arial" w:hAnsi="Arial"/>
          <w:sz w:val="24"/>
        </w:rPr>
      </w:pPr>
      <w:r>
        <w:rPr>
          <w:rFonts w:ascii="Arial" w:hAnsi="Arial"/>
          <w:sz w:val="24"/>
        </w:rPr>
        <w:t>Fittings for vent, interface/level sensor, waste oil pump-out, sampling, drain, and gauge.</w:t>
      </w:r>
    </w:p>
    <w:p w14:paraId="33F20587" w14:textId="77777777" w:rsidR="00530C42" w:rsidRDefault="00530C42">
      <w:pPr>
        <w:rPr>
          <w:rFonts w:ascii="Arial" w:hAnsi="Arial"/>
          <w:sz w:val="24"/>
        </w:rPr>
      </w:pPr>
    </w:p>
    <w:p w14:paraId="66CAD4CC" w14:textId="77777777" w:rsidR="00530C42" w:rsidRDefault="00327551">
      <w:pPr>
        <w:rPr>
          <w:rFonts w:ascii="Arial" w:hAnsi="Arial"/>
          <w:sz w:val="24"/>
        </w:rPr>
      </w:pPr>
      <w:r>
        <w:rPr>
          <w:rFonts w:ascii="Arial" w:hAnsi="Arial"/>
          <w:sz w:val="24"/>
        </w:rPr>
        <w:t xml:space="preserve">Removable vapor-tight top cover(s), gasket, and bolts with large wing nuts for easy access. </w:t>
      </w:r>
    </w:p>
    <w:p w14:paraId="0E527E43" w14:textId="77777777" w:rsidR="00530C42" w:rsidRDefault="00530C42">
      <w:pPr>
        <w:rPr>
          <w:rFonts w:ascii="Arial" w:hAnsi="Arial"/>
          <w:sz w:val="24"/>
        </w:rPr>
      </w:pPr>
    </w:p>
    <w:p w14:paraId="0DC29640" w14:textId="77777777" w:rsidR="00530C42" w:rsidRDefault="00327551">
      <w:pPr>
        <w:rPr>
          <w:rFonts w:ascii="Arial" w:hAnsi="Arial"/>
          <w:sz w:val="24"/>
        </w:rPr>
      </w:pPr>
      <w:r>
        <w:rPr>
          <w:rFonts w:ascii="Arial" w:hAnsi="Arial"/>
          <w:sz w:val="24"/>
        </w:rPr>
        <w:t>Lifting lugs at balancing points for handling and installation.</w:t>
      </w:r>
    </w:p>
    <w:p w14:paraId="7D0ADAC8" w14:textId="77777777" w:rsidR="00530C42" w:rsidRDefault="00530C42">
      <w:pPr>
        <w:rPr>
          <w:rFonts w:ascii="Arial" w:hAnsi="Arial"/>
          <w:sz w:val="24"/>
        </w:rPr>
      </w:pPr>
    </w:p>
    <w:p w14:paraId="24781A14" w14:textId="77777777" w:rsidR="00530C42" w:rsidRDefault="00327551">
      <w:pPr>
        <w:rPr>
          <w:rFonts w:ascii="Arial" w:hAnsi="Arial"/>
          <w:sz w:val="24"/>
        </w:rPr>
      </w:pPr>
      <w:r>
        <w:rPr>
          <w:rFonts w:ascii="Arial" w:hAnsi="Arial"/>
          <w:sz w:val="24"/>
        </w:rPr>
        <w:t>Identification plates:  Plates to be affixed in prominent location and be durable and legible throughout equipment life.</w:t>
      </w:r>
    </w:p>
    <w:p w14:paraId="2E8D28A4" w14:textId="77777777" w:rsidR="00530C42" w:rsidRDefault="00530C42">
      <w:pPr>
        <w:rPr>
          <w:rFonts w:ascii="Arial" w:hAnsi="Arial"/>
          <w:sz w:val="24"/>
        </w:rPr>
      </w:pPr>
    </w:p>
    <w:p w14:paraId="785CD7F8" w14:textId="77777777" w:rsidR="00530C42" w:rsidRDefault="00327551">
      <w:pPr>
        <w:rPr>
          <w:rFonts w:ascii="Arial" w:hAnsi="Arial"/>
          <w:sz w:val="24"/>
        </w:rPr>
      </w:pPr>
      <w:r>
        <w:rPr>
          <w:rFonts w:ascii="Arial" w:hAnsi="Arial"/>
          <w:sz w:val="24"/>
        </w:rPr>
        <w:t>Internal surfaces commercial grit blast and coated with heavy duty Polyurethane.</w:t>
      </w:r>
    </w:p>
    <w:p w14:paraId="1CD62E5F" w14:textId="77777777" w:rsidR="00530C42" w:rsidRDefault="00530C42">
      <w:pPr>
        <w:rPr>
          <w:rFonts w:ascii="Arial" w:eastAsia="MS Mincho" w:hAnsi="Arial"/>
          <w:sz w:val="24"/>
        </w:rPr>
      </w:pPr>
    </w:p>
    <w:p w14:paraId="5FBDADEE" w14:textId="77777777" w:rsidR="00530C42" w:rsidRDefault="00327551">
      <w:pPr>
        <w:rPr>
          <w:rFonts w:ascii="Arial" w:eastAsia="MS Mincho" w:hAnsi="Arial"/>
          <w:sz w:val="24"/>
        </w:rPr>
      </w:pPr>
      <w:r>
        <w:rPr>
          <w:rFonts w:ascii="Arial" w:eastAsia="MS Mincho" w:hAnsi="Arial"/>
          <w:sz w:val="24"/>
        </w:rPr>
        <w:t>External surfaces commercial grit blast and coated with heavy duty Polyurethane.</w:t>
      </w:r>
    </w:p>
    <w:p w14:paraId="0AC65EE1" w14:textId="77777777" w:rsidR="00530C42" w:rsidRDefault="00530C42">
      <w:pPr>
        <w:rPr>
          <w:rFonts w:ascii="Arial" w:hAnsi="Arial"/>
          <w:sz w:val="24"/>
        </w:rPr>
      </w:pPr>
    </w:p>
    <w:p w14:paraId="773281ED" w14:textId="77777777" w:rsidR="00530C42" w:rsidRDefault="00530C42">
      <w:pPr>
        <w:rPr>
          <w:rFonts w:ascii="Arial" w:hAnsi="Arial"/>
          <w:sz w:val="24"/>
        </w:rPr>
      </w:pPr>
    </w:p>
    <w:p w14:paraId="67AF5708" w14:textId="77777777" w:rsidR="00530C42" w:rsidRDefault="00327551">
      <w:pPr>
        <w:rPr>
          <w:rFonts w:ascii="Arial" w:hAnsi="Arial"/>
          <w:sz w:val="24"/>
        </w:rPr>
      </w:pPr>
      <w:r>
        <w:rPr>
          <w:rFonts w:ascii="Arial" w:hAnsi="Arial"/>
          <w:sz w:val="24"/>
        </w:rPr>
        <w:t>Accessories</w:t>
      </w:r>
    </w:p>
    <w:p w14:paraId="4CAACA83" w14:textId="77777777" w:rsidR="00530C42" w:rsidRDefault="00530C42">
      <w:pPr>
        <w:rPr>
          <w:rFonts w:ascii="Arial" w:hAnsi="Arial"/>
          <w:sz w:val="24"/>
        </w:rPr>
      </w:pPr>
    </w:p>
    <w:p w14:paraId="4F27E00D" w14:textId="77777777" w:rsidR="00530C42" w:rsidRDefault="00327551">
      <w:pPr>
        <w:rPr>
          <w:rFonts w:ascii="Arial" w:hAnsi="Arial"/>
          <w:sz w:val="24"/>
        </w:rPr>
      </w:pPr>
      <w:r>
        <w:rPr>
          <w:rFonts w:ascii="Arial" w:hAnsi="Arial"/>
          <w:sz w:val="24"/>
        </w:rPr>
        <w:t>Separator shall be supplied with an audible and visual alarm system that indicates hi oil level (visual only) and hi hi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     ]volt, [    ] phase.</w:t>
      </w:r>
    </w:p>
    <w:p w14:paraId="47CB321B" w14:textId="77777777" w:rsidR="00530C42" w:rsidRDefault="00530C42">
      <w:pPr>
        <w:rPr>
          <w:rFonts w:ascii="Arial" w:hAnsi="Arial"/>
          <w:sz w:val="24"/>
        </w:rPr>
      </w:pPr>
    </w:p>
    <w:p w14:paraId="594E186A" w14:textId="77777777" w:rsidR="00530C42" w:rsidRDefault="00530C42">
      <w:pPr>
        <w:rPr>
          <w:rFonts w:ascii="Arial" w:hAnsi="Arial"/>
          <w:sz w:val="24"/>
        </w:rPr>
      </w:pPr>
    </w:p>
    <w:p w14:paraId="240B75D9" w14:textId="77777777" w:rsidR="00530C42" w:rsidRDefault="00327551">
      <w:pPr>
        <w:rPr>
          <w:rFonts w:ascii="Arial" w:eastAsia="MS Mincho" w:hAnsi="Arial"/>
          <w:sz w:val="24"/>
        </w:rPr>
      </w:pPr>
      <w:r>
        <w:rPr>
          <w:rFonts w:ascii="Arial" w:eastAsia="MS Mincho" w:hAnsi="Arial"/>
          <w:sz w:val="24"/>
        </w:rPr>
        <w:t>Quality Assurance</w:t>
      </w:r>
    </w:p>
    <w:p w14:paraId="66B4C96A" w14:textId="77777777" w:rsidR="00530C42" w:rsidRDefault="00530C42">
      <w:pPr>
        <w:rPr>
          <w:rFonts w:ascii="Arial" w:eastAsia="MS Mincho" w:hAnsi="Arial"/>
          <w:sz w:val="24"/>
        </w:rPr>
      </w:pPr>
    </w:p>
    <w:p w14:paraId="409FE191" w14:textId="77777777" w:rsidR="00530C42" w:rsidRDefault="00327551">
      <w:pPr>
        <w:rPr>
          <w:rFonts w:ascii="Arial" w:eastAsia="MS Mincho" w:hAnsi="Arial"/>
          <w:sz w:val="24"/>
        </w:rPr>
      </w:pPr>
      <w:r>
        <w:rPr>
          <w:rFonts w:ascii="Arial" w:eastAsia="MS Mincho" w:hAnsi="Arial"/>
          <w:sz w:val="24"/>
        </w:rPr>
        <w:t>Submittals:</w:t>
      </w:r>
    </w:p>
    <w:p w14:paraId="509D4D65" w14:textId="77777777" w:rsidR="00530C42" w:rsidRDefault="00530C42">
      <w:pPr>
        <w:rPr>
          <w:rFonts w:ascii="Arial" w:eastAsia="MS Mincho" w:hAnsi="Arial"/>
          <w:sz w:val="24"/>
        </w:rPr>
      </w:pPr>
    </w:p>
    <w:p w14:paraId="3DAEEDBD" w14:textId="77777777" w:rsidR="00530C42" w:rsidRDefault="00327551">
      <w:pPr>
        <w:rPr>
          <w:rFonts w:ascii="Arial" w:eastAsia="MS Mincho" w:hAnsi="Arial"/>
          <w:sz w:val="24"/>
        </w:rPr>
      </w:pPr>
      <w:r>
        <w:rPr>
          <w:rFonts w:ascii="Arial" w:eastAsia="MS Mincho" w:hAnsi="Arial"/>
          <w:sz w:val="24"/>
        </w:rPr>
        <w:t>Shop Drawings:  shop drawings for oil/water separators shall show principal dimensions and location of all fittings.</w:t>
      </w:r>
    </w:p>
    <w:p w14:paraId="7AE34186" w14:textId="77777777" w:rsidR="00530C42" w:rsidRDefault="00327551">
      <w:pPr>
        <w:rPr>
          <w:rFonts w:ascii="Arial" w:eastAsia="MS Mincho" w:hAnsi="Arial"/>
          <w:sz w:val="24"/>
        </w:rPr>
      </w:pPr>
      <w:r>
        <w:rPr>
          <w:rFonts w:ascii="Arial" w:eastAsia="MS Mincho" w:hAnsi="Arial"/>
          <w:sz w:val="24"/>
        </w:rPr>
        <w:t>Instructions:  provide three complete sets of installation, operation, and maintenance instructions with separator.</w:t>
      </w:r>
    </w:p>
    <w:p w14:paraId="7B55B806" w14:textId="77777777" w:rsidR="00530C42" w:rsidRDefault="00327551">
      <w:pPr>
        <w:rPr>
          <w:rFonts w:ascii="Arial" w:eastAsia="MS Mincho" w:hAnsi="Arial"/>
          <w:sz w:val="24"/>
        </w:rPr>
      </w:pPr>
      <w:r>
        <w:rPr>
          <w:rFonts w:ascii="Arial" w:eastAsia="MS Mincho" w:hAnsi="Arial"/>
          <w:sz w:val="24"/>
        </w:rPr>
        <w:t>Quality Control: Quality control, inspection procedures, and reports shall be considered part of the submittal package.</w:t>
      </w:r>
    </w:p>
    <w:p w14:paraId="2281B23F" w14:textId="77777777" w:rsidR="00530C42" w:rsidRDefault="00530C42">
      <w:pPr>
        <w:rPr>
          <w:rFonts w:ascii="Arial" w:eastAsia="MS Mincho" w:hAnsi="Arial"/>
          <w:sz w:val="24"/>
        </w:rPr>
      </w:pPr>
    </w:p>
    <w:p w14:paraId="649FDC4C" w14:textId="77777777" w:rsidR="00530C42" w:rsidRDefault="00327551">
      <w:pPr>
        <w:rPr>
          <w:rFonts w:ascii="Arial" w:eastAsia="MS Mincho" w:hAnsi="Arial"/>
          <w:sz w:val="24"/>
        </w:rPr>
      </w:pPr>
      <w:r>
        <w:rPr>
          <w:rFonts w:ascii="Arial" w:eastAsia="MS Mincho" w:hAnsi="Arial"/>
          <w:sz w:val="24"/>
        </w:rPr>
        <w:t>Warranty:</w:t>
      </w:r>
    </w:p>
    <w:p w14:paraId="63D33F67" w14:textId="77777777" w:rsidR="00530C42" w:rsidRDefault="00530C42">
      <w:pPr>
        <w:rPr>
          <w:rFonts w:ascii="Arial" w:eastAsia="MS Mincho" w:hAnsi="Arial"/>
          <w:sz w:val="24"/>
        </w:rPr>
      </w:pPr>
    </w:p>
    <w:p w14:paraId="3A342C8F" w14:textId="77777777" w:rsidR="00530C42" w:rsidRDefault="00327551">
      <w:pPr>
        <w:rPr>
          <w:rFonts w:ascii="Arial" w:eastAsia="MS Mincho" w:hAnsi="Arial"/>
          <w:sz w:val="24"/>
        </w:rPr>
      </w:pPr>
      <w:r>
        <w:rPr>
          <w:rFonts w:ascii="Arial" w:eastAsia="MS Mincho" w:hAnsi="Arial"/>
          <w:sz w:val="24"/>
        </w:rPr>
        <w:t>The manufacturer shall warrant its products to be free from defects in material and workmanship for a period of one year from the date of shipment.  The warranty shall be limited to repair or replacement of the defective part(s).</w:t>
      </w:r>
    </w:p>
    <w:p w14:paraId="7E9E3121" w14:textId="77777777" w:rsidR="00530C42" w:rsidRDefault="00530C42">
      <w:pPr>
        <w:rPr>
          <w:rFonts w:ascii="Arial" w:eastAsia="MS Mincho" w:hAnsi="Arial"/>
          <w:sz w:val="24"/>
        </w:rPr>
      </w:pPr>
    </w:p>
    <w:p w14:paraId="15CFAE42" w14:textId="77777777" w:rsidR="00530C42" w:rsidRDefault="00530C42">
      <w:pPr>
        <w:rPr>
          <w:rFonts w:ascii="Arial" w:eastAsia="MS Mincho" w:hAnsi="Arial"/>
          <w:sz w:val="24"/>
        </w:rPr>
      </w:pPr>
    </w:p>
    <w:p w14:paraId="5B5CE9C6" w14:textId="77777777" w:rsidR="00530C42" w:rsidRDefault="00327551">
      <w:pPr>
        <w:rPr>
          <w:rFonts w:ascii="Arial" w:eastAsia="MS Mincho" w:hAnsi="Arial"/>
          <w:sz w:val="24"/>
        </w:rPr>
      </w:pPr>
      <w:r>
        <w:rPr>
          <w:rFonts w:ascii="Arial" w:eastAsia="MS Mincho" w:hAnsi="Arial"/>
          <w:sz w:val="24"/>
        </w:rPr>
        <w:t>Approved Manufacturers</w:t>
      </w:r>
    </w:p>
    <w:p w14:paraId="16813BEE" w14:textId="77777777" w:rsidR="00530C42" w:rsidRDefault="00530C42">
      <w:pPr>
        <w:rPr>
          <w:rFonts w:ascii="Arial" w:eastAsia="MS Mincho" w:hAnsi="Arial"/>
          <w:sz w:val="24"/>
        </w:rPr>
      </w:pPr>
    </w:p>
    <w:p w14:paraId="76E4DB9F" w14:textId="77777777" w:rsidR="00530C42" w:rsidRDefault="00327551">
      <w:pPr>
        <w:rPr>
          <w:rFonts w:ascii="Arial" w:eastAsia="MS Mincho" w:hAnsi="Arial"/>
          <w:sz w:val="24"/>
        </w:rPr>
      </w:pPr>
      <w:r>
        <w:rPr>
          <w:rFonts w:ascii="Arial" w:eastAsia="MS Mincho" w:hAnsi="Arial"/>
          <w:sz w:val="24"/>
        </w:rPr>
        <w:t xml:space="preserve">Highland Tank and Mfg. Co., One Highland Road, Box 338, Stoystown, PA 15563, Phone (814) 893-5701, Facsimile (814)-893-6126, </w:t>
      </w:r>
      <w:hyperlink r:id="rId7" w:history="1">
        <w:r>
          <w:rPr>
            <w:rStyle w:val="Hyperlink"/>
            <w:rFonts w:ascii="Arial" w:eastAsia="MS Mincho" w:hAnsi="Arial"/>
          </w:rPr>
          <w:t>www.highlandtank.com</w:t>
        </w:r>
      </w:hyperlink>
      <w:r>
        <w:rPr>
          <w:rFonts w:ascii="Arial" w:eastAsia="MS Mincho" w:hAnsi="Arial"/>
          <w:sz w:val="24"/>
        </w:rPr>
        <w:t xml:space="preserve"> shall manufacture the Oil/Water Separator.</w:t>
      </w:r>
    </w:p>
    <w:p w14:paraId="44CA4B83" w14:textId="77777777" w:rsidR="00327551" w:rsidRDefault="00327551"/>
    <w:sectPr w:rsidR="00327551">
      <w:footerReference w:type="first" r:id="rId8"/>
      <w:footnotePr>
        <w:pos w:val="beneathText"/>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7B3B7" w14:textId="77777777" w:rsidR="00327551" w:rsidRDefault="00327551">
      <w:r>
        <w:separator/>
      </w:r>
    </w:p>
  </w:endnote>
  <w:endnote w:type="continuationSeparator" w:id="0">
    <w:p w14:paraId="6A1B0E40" w14:textId="77777777" w:rsidR="00327551" w:rsidRDefault="00327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any AMT">
    <w:altName w:val="Arial"/>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D1A13" w14:textId="77777777" w:rsidR="00530C42" w:rsidRDefault="00530C42">
    <w:pPr>
      <w:pStyle w:val="Footer"/>
      <w:pBdr>
        <w:top w:val="double" w:sz="1" w:space="29" w:color="000000"/>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E9C36" w14:textId="77777777" w:rsidR="00327551" w:rsidRDefault="00327551">
      <w:r>
        <w:separator/>
      </w:r>
    </w:p>
  </w:footnote>
  <w:footnote w:type="continuationSeparator" w:id="0">
    <w:p w14:paraId="4402BC61" w14:textId="77777777" w:rsidR="00327551" w:rsidRDefault="003275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F81"/>
    <w:rsid w:val="001D517C"/>
    <w:rsid w:val="00327551"/>
    <w:rsid w:val="00530C42"/>
    <w:rsid w:val="00B31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6BED6"/>
  <w15:chartTrackingRefBased/>
  <w15:docId w15:val="{7315E926-2349-6747-B0E0-149DCB90D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Garamond" w:hAnsi="Garamond"/>
      <w:sz w:val="21"/>
    </w:rPr>
  </w:style>
  <w:style w:type="paragraph" w:styleId="Heading1">
    <w:name w:val="heading 1"/>
    <w:basedOn w:val="Normal"/>
    <w:next w:val="BodyText"/>
    <w:qFormat/>
    <w:pPr>
      <w:keepNext/>
      <w:keepLines/>
      <w:numPr>
        <w:numId w:val="1"/>
      </w:numPr>
      <w:spacing w:after="240" w:line="240" w:lineRule="atLeast"/>
      <w:jc w:val="center"/>
      <w:outlineLvl w:val="0"/>
    </w:pPr>
    <w:rPr>
      <w:smallCaps/>
      <w:spacing w:val="14"/>
      <w:kern w:val="1"/>
      <w:sz w:val="23"/>
    </w:rPr>
  </w:style>
  <w:style w:type="paragraph" w:styleId="Heading2">
    <w:name w:val="heading 2"/>
    <w:basedOn w:val="Normal"/>
    <w:next w:val="BodyText"/>
    <w:qFormat/>
    <w:pPr>
      <w:keepNext/>
      <w:keepLines/>
      <w:numPr>
        <w:ilvl w:val="1"/>
        <w:numId w:val="1"/>
      </w:numPr>
      <w:spacing w:after="240" w:line="240" w:lineRule="atLeast"/>
      <w:outlineLvl w:val="1"/>
    </w:pPr>
    <w:rPr>
      <w:smallCaps/>
      <w:spacing w:val="10"/>
      <w:kern w:val="1"/>
      <w:sz w:val="24"/>
    </w:rPr>
  </w:style>
  <w:style w:type="paragraph" w:styleId="Heading3">
    <w:name w:val="heading 3"/>
    <w:basedOn w:val="Normal"/>
    <w:next w:val="BodyText"/>
    <w:qFormat/>
    <w:pPr>
      <w:keepNext/>
      <w:keepLines/>
      <w:numPr>
        <w:ilvl w:val="2"/>
        <w:numId w:val="1"/>
      </w:numPr>
      <w:spacing w:after="240" w:line="240" w:lineRule="atLeast"/>
      <w:outlineLvl w:val="2"/>
    </w:pPr>
    <w:rPr>
      <w:i/>
      <w:kern w:val="1"/>
      <w:sz w:val="24"/>
    </w:rPr>
  </w:style>
  <w:style w:type="paragraph" w:styleId="Heading4">
    <w:name w:val="heading 4"/>
    <w:basedOn w:val="Normal"/>
    <w:next w:val="BodyText"/>
    <w:qFormat/>
    <w:pPr>
      <w:keepNext/>
      <w:keepLines/>
      <w:numPr>
        <w:ilvl w:val="3"/>
        <w:numId w:val="1"/>
      </w:numPr>
      <w:spacing w:line="240" w:lineRule="atLeast"/>
      <w:outlineLvl w:val="3"/>
    </w:pPr>
    <w:rPr>
      <w:smallCaps/>
      <w:kern w:val="1"/>
      <w:sz w:val="23"/>
    </w:rPr>
  </w:style>
  <w:style w:type="paragraph" w:styleId="Heading5">
    <w:name w:val="heading 5"/>
    <w:basedOn w:val="Normal"/>
    <w:next w:val="BodyText"/>
    <w:qFormat/>
    <w:pPr>
      <w:keepNext/>
      <w:keepLines/>
      <w:numPr>
        <w:ilvl w:val="4"/>
        <w:numId w:val="1"/>
      </w:numPr>
      <w:spacing w:line="240" w:lineRule="atLeast"/>
      <w:outlineLvl w:val="4"/>
    </w:pPr>
    <w:rPr>
      <w:kern w:val="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St1z0">
    <w:name w:val="WW8NumSt1z0"/>
    <w:rPr>
      <w:rFonts w:ascii="Symbol" w:hAnsi="Symbol"/>
    </w:rPr>
  </w:style>
  <w:style w:type="character" w:customStyle="1" w:styleId="Checkbox">
    <w:name w:val="Checkbox"/>
    <w:rPr>
      <w:rFonts w:ascii="Times New Roman" w:hAnsi="Times New Roman"/>
      <w:sz w:val="22"/>
    </w:rPr>
  </w:style>
  <w:style w:type="character" w:styleId="Emphasis">
    <w:name w:val="Emphasis"/>
    <w:qFormat/>
    <w:rPr>
      <w:caps/>
      <w:spacing w:val="10"/>
      <w:sz w:val="16"/>
    </w:rPr>
  </w:style>
  <w:style w:type="character" w:styleId="PageNumber">
    <w:name w:val="page number"/>
    <w:semiHidden/>
    <w:rPr>
      <w:sz w:val="24"/>
    </w:rPr>
  </w:style>
  <w:style w:type="character" w:customStyle="1" w:styleId="Slogan">
    <w:name w:val="Slogan"/>
    <w:basedOn w:val="DefaultParagraphFont"/>
    <w:rPr>
      <w:i/>
      <w:spacing w:val="70"/>
    </w:rPr>
  </w:style>
  <w:style w:type="character" w:styleId="Hyperlink">
    <w:name w:val="Hyperlink"/>
    <w:basedOn w:val="DefaultParagraphFont"/>
    <w:semiHidden/>
    <w:rPr>
      <w:color w:val="0000FF"/>
      <w:u w:val="single"/>
    </w:rPr>
  </w:style>
  <w:style w:type="paragraph" w:customStyle="1" w:styleId="Heading">
    <w:name w:val="Heading"/>
    <w:basedOn w:val="Normal"/>
    <w:next w:val="BodyText"/>
    <w:pPr>
      <w:keepNext/>
      <w:spacing w:before="240" w:after="120"/>
    </w:pPr>
    <w:rPr>
      <w:rFonts w:ascii="Albany AMT" w:eastAsia="Lucida Sans Unicode" w:hAnsi="Albany AMT" w:cs="Tahoma"/>
      <w:sz w:val="28"/>
      <w:szCs w:val="28"/>
    </w:rPr>
  </w:style>
  <w:style w:type="paragraph" w:styleId="BodyText">
    <w:name w:val="Body Text"/>
    <w:basedOn w:val="Normal"/>
    <w:semiHidden/>
    <w:pPr>
      <w:spacing w:after="240" w:line="240" w:lineRule="atLeast"/>
      <w:jc w:val="both"/>
    </w:pPr>
    <w:rPr>
      <w:spacing w:val="-5"/>
      <w:sz w:val="24"/>
    </w:rPr>
  </w:style>
  <w:style w:type="paragraph" w:styleId="List">
    <w:name w:val="List"/>
    <w:basedOn w:val="BodyText"/>
    <w:semiHidden/>
    <w:rPr>
      <w:rFonts w:cs="Tahoma"/>
    </w:rPr>
  </w:style>
  <w:style w:type="paragraph" w:styleId="Caption">
    <w:name w:val="caption"/>
    <w:basedOn w:val="Normal"/>
    <w:next w:val="Normal"/>
    <w:qFormat/>
    <w:pPr>
      <w:widowControl w:val="0"/>
      <w:jc w:val="center"/>
    </w:pPr>
    <w:rPr>
      <w:rFonts w:ascii="Courier New" w:hAnsi="Courier New"/>
      <w:color w:val="00FF00"/>
      <w:sz w:val="28"/>
    </w:rPr>
  </w:style>
  <w:style w:type="paragraph" w:customStyle="1" w:styleId="Index">
    <w:name w:val="Index"/>
    <w:basedOn w:val="Normal"/>
    <w:pPr>
      <w:suppressLineNumbers/>
    </w:pPr>
    <w:rPr>
      <w:rFonts w:cs="Tahoma"/>
    </w:rPr>
  </w:style>
  <w:style w:type="paragraph" w:customStyle="1" w:styleId="CompanyName">
    <w:name w:val="Company Name"/>
    <w:basedOn w:val="BodyText"/>
    <w:pPr>
      <w:keepLines/>
      <w:spacing w:after="80"/>
      <w:jc w:val="center"/>
    </w:pPr>
    <w:rPr>
      <w:caps/>
      <w:spacing w:val="75"/>
      <w:sz w:val="21"/>
    </w:rPr>
  </w:style>
  <w:style w:type="paragraph" w:customStyle="1" w:styleId="DocumentLabel">
    <w:name w:val="Document Label"/>
    <w:next w:val="Normal"/>
    <w:pPr>
      <w:pBdr>
        <w:top w:val="double" w:sz="1" w:space="8" w:color="000000"/>
        <w:bottom w:val="double" w:sz="1" w:space="8" w:color="000000"/>
      </w:pBdr>
      <w:suppressAutoHyphens/>
      <w:spacing w:after="40" w:line="240" w:lineRule="atLeast"/>
      <w:jc w:val="center"/>
    </w:pPr>
    <w:rPr>
      <w:rFonts w:ascii="Garamond" w:eastAsia="Arial" w:hAnsi="Garamond"/>
      <w:b/>
      <w:caps/>
      <w:spacing w:val="20"/>
      <w:sz w:val="18"/>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semiHidden/>
    <w:pPr>
      <w:pBdr>
        <w:top w:val="single" w:sz="4" w:space="30" w:color="000000"/>
      </w:pBdr>
      <w:spacing w:before="600"/>
      <w:jc w:val="left"/>
    </w:pPr>
  </w:style>
  <w:style w:type="paragraph" w:styleId="Header">
    <w:name w:val="header"/>
    <w:basedOn w:val="HeaderBase"/>
    <w:semiHidden/>
    <w:pPr>
      <w:spacing w:after="600"/>
      <w:jc w:val="left"/>
    </w:pPr>
    <w:rPr>
      <w:caps/>
      <w:sz w:val="18"/>
    </w:rPr>
  </w:style>
  <w:style w:type="paragraph" w:customStyle="1" w:styleId="HeadingBase">
    <w:name w:val="Heading Base"/>
    <w:basedOn w:val="BodyText"/>
    <w:next w:val="BodyText"/>
    <w:pPr>
      <w:keepNext/>
      <w:keepLines/>
      <w:spacing w:after="0"/>
      <w:jc w:val="left"/>
    </w:pPr>
    <w:rPr>
      <w:kern w:val="1"/>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4"/>
      <w:sz w:val="14"/>
    </w:rPr>
  </w:style>
  <w:style w:type="paragraph" w:customStyle="1" w:styleId="MessageHeaderLast">
    <w:name w:val="Message Header Last"/>
    <w:basedOn w:val="MessageHeader"/>
    <w:next w:val="BodyText"/>
    <w:pPr>
      <w:pBdr>
        <w:top w:val="double" w:sz="1" w:space="18" w:color="000000"/>
        <w:bottom w:val="double" w:sz="1" w:space="18" w:color="000000"/>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paragraph" w:customStyle="1" w:styleId="ReturnAddress">
    <w:name w:val="Return Address"/>
    <w:pPr>
      <w:suppressAutoHyphens/>
      <w:spacing w:line="240" w:lineRule="atLeast"/>
      <w:ind w:right="-240"/>
      <w:jc w:val="center"/>
    </w:pPr>
    <w:rPr>
      <w:rFonts w:ascii="Garamond" w:eastAsia="Arial"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paragraph" w:styleId="Title">
    <w:name w:val="Title"/>
    <w:basedOn w:val="HeadingBase"/>
    <w:next w:val="Subtitle"/>
    <w:qFormat/>
    <w:pPr>
      <w:keepLines w:val="0"/>
      <w:spacing w:before="360" w:after="240" w:line="560" w:lineRule="exact"/>
      <w:jc w:val="center"/>
    </w:pPr>
    <w:rPr>
      <w:rFonts w:ascii="Arial" w:hAnsi="Arial"/>
      <w:b/>
      <w:spacing w:val="0"/>
      <w:sz w:val="40"/>
    </w:rPr>
  </w:style>
  <w:style w:type="paragraph" w:styleId="Subtitle">
    <w:name w:val="Subtitle"/>
    <w:basedOn w:val="Title"/>
    <w:next w:val="BodyText"/>
    <w:qFormat/>
    <w:pPr>
      <w:spacing w:before="0" w:line="240" w:lineRule="auto"/>
    </w:pPr>
    <w:rPr>
      <w:b w:val="0"/>
      <w:i/>
      <w:sz w:val="28"/>
    </w:rPr>
  </w:style>
  <w:style w:type="paragraph" w:styleId="Closing">
    <w:name w:val="Closing"/>
    <w:basedOn w:val="Normal"/>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paragraph" w:styleId="BodyText2">
    <w:name w:val="Body Text 2"/>
    <w:basedOn w:val="Normal"/>
    <w:pPr>
      <w:autoSpaceDE w:val="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1263</Words>
  <Characters>7201</Characters>
  <Application>Microsoft Office Word</Application>
  <DocSecurity>0</DocSecurity>
  <Lines>60</Lines>
  <Paragraphs>16</Paragraphs>
  <ScaleCrop>false</ScaleCrop>
  <Company/>
  <LinksUpToDate>false</LinksUpToDate>
  <CharactersWithSpaces>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2002-08-01T21:26:00Z</cp:lastPrinted>
  <dcterms:created xsi:type="dcterms:W3CDTF">2018-11-13T15:09:00Z</dcterms:created>
  <dcterms:modified xsi:type="dcterms:W3CDTF">2022-01-25T16:21:00Z</dcterms:modified>
</cp:coreProperties>
</file>