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38DDE9DB"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8A3392">
        <w:rPr>
          <w:rFonts w:ascii="Arial" w:hAnsi="Arial"/>
        </w:rPr>
        <w:t>20</w:t>
      </w:r>
      <w:r w:rsidR="00716F4D">
        <w:rPr>
          <w:rFonts w:ascii="Arial" w:hAnsi="Arial"/>
        </w:rPr>
        <w:t>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0020A7">
        <w:rPr>
          <w:rFonts w:ascii="Arial" w:hAnsi="Arial" w:cs="Arial"/>
          <w:sz w:val="22"/>
          <w:szCs w:val="22"/>
        </w:rPr>
        <w:t>120</w:t>
      </w:r>
    </w:p>
    <w:p w14:paraId="39E6FDA4" w14:textId="73387707" w:rsidR="00A10B06" w:rsidRDefault="008A3392" w:rsidP="00AB23D3">
      <w:pPr>
        <w:pStyle w:val="BasicParagraph"/>
        <w:tabs>
          <w:tab w:val="left" w:pos="360"/>
          <w:tab w:val="left" w:pos="720"/>
          <w:tab w:val="left" w:pos="1080"/>
        </w:tabs>
        <w:rPr>
          <w:rFonts w:ascii="Arial" w:hAnsi="Arial"/>
          <w:b/>
          <w:bCs/>
        </w:rPr>
      </w:pPr>
      <w:r>
        <w:rPr>
          <w:rFonts w:ascii="Arial" w:hAnsi="Arial" w:cs="Arial"/>
          <w:b/>
          <w:bCs/>
        </w:rPr>
        <w:t>20</w:t>
      </w:r>
      <w:r w:rsidR="00C50E4E">
        <w:rPr>
          <w:rFonts w:ascii="Arial" w:hAnsi="Arial" w:cs="Arial"/>
          <w:b/>
          <w:bCs/>
        </w:rPr>
        <w:t>,</w:t>
      </w:r>
      <w:r w:rsidR="00837E4B">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1BB29893"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8A3392">
        <w:rPr>
          <w:rFonts w:ascii="Arial" w:hAnsi="Arial" w:cs="Arial"/>
          <w:color w:val="000000" w:themeColor="text1"/>
          <w:sz w:val="22"/>
          <w:szCs w:val="22"/>
        </w:rPr>
        <w:t>20</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1A45C721"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020A7">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8A3392">
        <w:rPr>
          <w:rFonts w:ascii="Arial" w:hAnsi="Arial" w:cs="Arial"/>
          <w:color w:val="000000" w:themeColor="text1"/>
          <w:sz w:val="22"/>
          <w:szCs w:val="22"/>
        </w:rPr>
        <w:t>34</w:t>
      </w:r>
      <w:r w:rsidRPr="0091048F">
        <w:rPr>
          <w:rFonts w:ascii="Arial" w:hAnsi="Arial" w:cs="Arial"/>
          <w:color w:val="000000" w:themeColor="text1"/>
          <w:sz w:val="22"/>
          <w:szCs w:val="22"/>
        </w:rPr>
        <w:t xml:space="preserve">-feet, </w:t>
      </w:r>
      <w:r w:rsidR="008A3392">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CAC985" w14:textId="5F83CBE7"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0020A7">
        <w:rPr>
          <w:rFonts w:ascii="Arial" w:hAnsi="Arial" w:cs="Arial"/>
          <w:color w:val="000000" w:themeColor="text1"/>
          <w:sz w:val="22"/>
          <w:szCs w:val="22"/>
        </w:rPr>
        <w:t>10</w:t>
      </w:r>
      <w:r>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Pr>
          <w:rFonts w:ascii="Arial" w:hAnsi="Arial" w:cs="Arial"/>
          <w:color w:val="000000" w:themeColor="text1"/>
          <w:sz w:val="22"/>
          <w:szCs w:val="22"/>
        </w:rPr>
        <w:t>-inches</w:t>
      </w:r>
      <w:r>
        <w:rPr>
          <w:rFonts w:ascii="Arial" w:hAnsi="Arial" w:cs="Arial"/>
          <w:color w:val="000000" w:themeColor="text1"/>
          <w:sz w:val="22"/>
          <w:szCs w:val="22"/>
        </w:rPr>
        <w:tab/>
      </w:r>
      <w:r w:rsidR="008A3392">
        <w:rPr>
          <w:rFonts w:ascii="Arial" w:hAnsi="Arial" w:cs="Arial"/>
          <w:color w:val="000000" w:themeColor="text1"/>
          <w:sz w:val="22"/>
          <w:szCs w:val="22"/>
        </w:rPr>
        <w:t>6</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8A3392">
        <w:rPr>
          <w:rFonts w:ascii="Arial" w:hAnsi="Arial" w:cs="Arial"/>
          <w:color w:val="000000" w:themeColor="text1"/>
          <w:sz w:val="22"/>
          <w:szCs w:val="22"/>
        </w:rPr>
        <w:t>10</w:t>
      </w:r>
      <w:r>
        <w:rPr>
          <w:rFonts w:ascii="Arial" w:hAnsi="Arial" w:cs="Arial"/>
          <w:color w:val="000000" w:themeColor="text1"/>
          <w:sz w:val="22"/>
          <w:szCs w:val="22"/>
        </w:rPr>
        <w:t>-inches</w:t>
      </w:r>
    </w:p>
    <w:p w14:paraId="56FC9D8D" w14:textId="3D45A09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020A7">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8A3392">
        <w:rPr>
          <w:rFonts w:ascii="Arial" w:hAnsi="Arial" w:cs="Arial"/>
          <w:color w:val="000000" w:themeColor="text1"/>
          <w:sz w:val="22"/>
          <w:szCs w:val="22"/>
        </w:rPr>
        <w:t>4</w:t>
      </w:r>
      <w:r w:rsidR="000020A7">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8A3392">
        <w:rPr>
          <w:rFonts w:ascii="Arial" w:hAnsi="Arial" w:cs="Arial"/>
          <w:color w:val="000000" w:themeColor="text1"/>
          <w:sz w:val="22"/>
          <w:szCs w:val="22"/>
        </w:rPr>
        <w:t>5</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4C3151D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6B83A0FB" w14:textId="5B444FF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proofErr w:type="spellStart"/>
      <w:r w:rsidRPr="00D817D0">
        <w:rPr>
          <w:rFonts w:ascii="Arial" w:hAnsi="Arial"/>
          <w:sz w:val="22"/>
          <w:szCs w:val="22"/>
        </w:rPr>
        <w:t>CommBox</w:t>
      </w:r>
      <w:proofErr w:type="spellEnd"/>
      <w:r w:rsidRPr="00D817D0">
        <w:rPr>
          <w:rFonts w:ascii="Arial" w:hAnsi="Arial"/>
          <w:sz w:val="22"/>
          <w:szCs w:val="22"/>
        </w:rPr>
        <w:t xml:space="preserve">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020A7"/>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53E57"/>
    <w:rsid w:val="00275B89"/>
    <w:rsid w:val="002C15C6"/>
    <w:rsid w:val="002C4D9A"/>
    <w:rsid w:val="002C6E5E"/>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16F4D"/>
    <w:rsid w:val="00727BD6"/>
    <w:rsid w:val="007464CE"/>
    <w:rsid w:val="0075087B"/>
    <w:rsid w:val="00755A0A"/>
    <w:rsid w:val="00764A84"/>
    <w:rsid w:val="00772A71"/>
    <w:rsid w:val="00783B92"/>
    <w:rsid w:val="007C6D86"/>
    <w:rsid w:val="007F2D20"/>
    <w:rsid w:val="00837E4B"/>
    <w:rsid w:val="008631A9"/>
    <w:rsid w:val="00870A99"/>
    <w:rsid w:val="00890296"/>
    <w:rsid w:val="008A236C"/>
    <w:rsid w:val="008A3392"/>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26B24"/>
    <w:rsid w:val="00A411EA"/>
    <w:rsid w:val="00A503F7"/>
    <w:rsid w:val="00A8514B"/>
    <w:rsid w:val="00A9592F"/>
    <w:rsid w:val="00AB23D3"/>
    <w:rsid w:val="00AB662C"/>
    <w:rsid w:val="00AC4312"/>
    <w:rsid w:val="00AC495B"/>
    <w:rsid w:val="00AD32C9"/>
    <w:rsid w:val="00AE305B"/>
    <w:rsid w:val="00AF0E80"/>
    <w:rsid w:val="00AF1B83"/>
    <w:rsid w:val="00B015EB"/>
    <w:rsid w:val="00B16DE3"/>
    <w:rsid w:val="00B52074"/>
    <w:rsid w:val="00BB7F1F"/>
    <w:rsid w:val="00C02D5B"/>
    <w:rsid w:val="00C11A9D"/>
    <w:rsid w:val="00C14760"/>
    <w:rsid w:val="00C47EA0"/>
    <w:rsid w:val="00C50E4E"/>
    <w:rsid w:val="00CF67A1"/>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1CB7"/>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1602</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2024-08-15T21:41:00Z</dcterms:created>
  <dcterms:modified xsi:type="dcterms:W3CDTF">2024-08-15T21:41:00Z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